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75" w:rsidRPr="003C1975" w:rsidRDefault="003C1975" w:rsidP="003C1975">
      <w:pPr>
        <w:widowControl/>
        <w:pBdr>
          <w:bottom w:val="single" w:sz="4" w:space="6" w:color="E7E7EB"/>
        </w:pBdr>
        <w:spacing w:after="168"/>
        <w:ind w:firstLineChars="0" w:firstLine="582"/>
        <w:jc w:val="left"/>
        <w:outlineLvl w:val="1"/>
        <w:rPr>
          <w:rFonts w:ascii="Helvetica" w:hAnsi="Helvetica" w:cs="Helvetica"/>
          <w:b/>
          <w:color w:val="000000"/>
          <w:kern w:val="0"/>
          <w:sz w:val="29"/>
          <w:szCs w:val="29"/>
        </w:rPr>
      </w:pPr>
      <w:r w:rsidRPr="003C1975">
        <w:rPr>
          <w:rFonts w:ascii="Helvetica" w:hAnsi="Helvetica" w:cs="Helvetica"/>
          <w:b/>
          <w:color w:val="000000"/>
          <w:kern w:val="0"/>
          <w:sz w:val="29"/>
          <w:szCs w:val="29"/>
        </w:rPr>
        <w:t>财政部</w:t>
      </w:r>
      <w:r w:rsidR="00941717" w:rsidRPr="00941717">
        <w:rPr>
          <w:rFonts w:ascii="Helvetica" w:hAnsi="Helvetica" w:cs="Helvetica" w:hint="eastAsia"/>
          <w:b/>
          <w:color w:val="000000"/>
          <w:kern w:val="0"/>
          <w:sz w:val="29"/>
          <w:szCs w:val="29"/>
        </w:rPr>
        <w:t>、</w:t>
      </w:r>
      <w:r w:rsidRPr="003C1975">
        <w:rPr>
          <w:rFonts w:ascii="Helvetica" w:hAnsi="Helvetica" w:cs="Helvetica"/>
          <w:b/>
          <w:color w:val="000000"/>
          <w:kern w:val="0"/>
          <w:sz w:val="29"/>
          <w:szCs w:val="29"/>
        </w:rPr>
        <w:t>国家税务总局联合发文全面推进资源税改革</w:t>
      </w:r>
    </w:p>
    <w:p w:rsidR="003C1975" w:rsidRPr="003C1975" w:rsidRDefault="003C1975" w:rsidP="003C1975">
      <w:pPr>
        <w:widowControl/>
        <w:shd w:val="clear" w:color="auto" w:fill="FFFFFF"/>
        <w:spacing w:line="360" w:lineRule="atLeast"/>
        <w:ind w:firstLineChars="0" w:firstLine="440"/>
        <w:jc w:val="center"/>
        <w:rPr>
          <w:rFonts w:ascii="Helvetica" w:hAnsi="Helvetica" w:cs="Helvetica"/>
          <w:color w:val="000000" w:themeColor="text1"/>
          <w:kern w:val="0"/>
          <w:sz w:val="28"/>
          <w:szCs w:val="28"/>
        </w:rPr>
      </w:pPr>
      <w:r w:rsidRPr="003C1975">
        <w:rPr>
          <w:rFonts w:ascii="Helvetica" w:hAnsi="Helvetica" w:cs="Helvetica"/>
          <w:b/>
          <w:bCs/>
          <w:color w:val="000000" w:themeColor="text1"/>
          <w:kern w:val="0"/>
          <w:sz w:val="28"/>
          <w:szCs w:val="28"/>
        </w:rPr>
        <w:t>关于全面推进资源税改革的通知</w:t>
      </w:r>
    </w:p>
    <w:p w:rsidR="003C1975" w:rsidRPr="003C1975" w:rsidRDefault="003C1975" w:rsidP="003C1975">
      <w:pPr>
        <w:widowControl/>
        <w:shd w:val="clear" w:color="auto" w:fill="FFFFFF"/>
        <w:spacing w:line="360" w:lineRule="atLeast"/>
        <w:ind w:firstLineChars="0" w:firstLine="0"/>
        <w:jc w:val="center"/>
        <w:rPr>
          <w:rFonts w:ascii="Helvetica" w:hAnsi="Helvetica" w:cs="Helvetica"/>
          <w:color w:val="3E3E3E"/>
          <w:kern w:val="0"/>
          <w:sz w:val="19"/>
          <w:szCs w:val="19"/>
        </w:rPr>
      </w:pPr>
      <w:r w:rsidRPr="003C1975">
        <w:rPr>
          <w:rFonts w:ascii="Helvetica" w:hAnsi="Helvetica" w:cs="Helvetica"/>
          <w:color w:val="3E3E3E"/>
          <w:kern w:val="0"/>
          <w:sz w:val="22"/>
          <w:szCs w:val="22"/>
        </w:rPr>
        <w:t>财税〔</w:t>
      </w:r>
      <w:r w:rsidRPr="003C1975">
        <w:rPr>
          <w:rFonts w:ascii="Helvetica" w:hAnsi="Helvetica" w:cs="Helvetica"/>
          <w:color w:val="3E3E3E"/>
          <w:kern w:val="0"/>
          <w:sz w:val="22"/>
          <w:szCs w:val="22"/>
        </w:rPr>
        <w:t>2016</w:t>
      </w:r>
      <w:r w:rsidRPr="003C1975">
        <w:rPr>
          <w:rFonts w:ascii="Helvetica" w:hAnsi="Helvetica" w:cs="Helvetica"/>
          <w:color w:val="3E3E3E"/>
          <w:kern w:val="0"/>
          <w:sz w:val="22"/>
          <w:szCs w:val="22"/>
        </w:rPr>
        <w:t>〕</w:t>
      </w:r>
      <w:r w:rsidRPr="003C1975">
        <w:rPr>
          <w:rFonts w:ascii="Helvetica" w:hAnsi="Helvetica" w:cs="Helvetica"/>
          <w:color w:val="3E3E3E"/>
          <w:kern w:val="0"/>
          <w:sz w:val="22"/>
          <w:szCs w:val="22"/>
        </w:rPr>
        <w:t>53</w:t>
      </w:r>
      <w:r w:rsidRPr="003C1975">
        <w:rPr>
          <w:rFonts w:ascii="Helvetica" w:hAnsi="Helvetica" w:cs="Helvetica"/>
          <w:color w:val="3E3E3E"/>
          <w:kern w:val="0"/>
          <w:sz w:val="22"/>
          <w:szCs w:val="22"/>
        </w:rPr>
        <w:t>号</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各省、自治区、直辖市、计划单列市人民政府，国务院各部委、各直属机构：</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根据党中央、国务院决策部署，为深化财税体制改革，促进资源节约集约利用，加快生态文明建设，现就全面推进资源税改革有关事项通知如下：</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b/>
          <w:bCs/>
          <w:color w:val="FFFFFF"/>
          <w:kern w:val="0"/>
          <w:sz w:val="22"/>
        </w:rPr>
        <w:t>一、资源税改革的指导思想、基本原则和主要目标</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（一）指导思想。</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全面贯彻党的十八大和十八届三中、四中、五中全会精神，按照</w:t>
      </w:r>
      <w:r w:rsidRPr="003C1975">
        <w:rPr>
          <w:rFonts w:ascii="Helvetica" w:hAnsi="Helvetica" w:cs="Helvetica"/>
          <w:color w:val="3E3E3E"/>
          <w:kern w:val="0"/>
          <w:sz w:val="22"/>
          <w:szCs w:val="22"/>
        </w:rPr>
        <w:t>“</w:t>
      </w:r>
      <w:r w:rsidRPr="003C1975">
        <w:rPr>
          <w:rFonts w:ascii="Helvetica" w:hAnsi="Helvetica" w:cs="Helvetica"/>
          <w:color w:val="3E3E3E"/>
          <w:kern w:val="0"/>
          <w:sz w:val="22"/>
          <w:szCs w:val="22"/>
        </w:rPr>
        <w:t>五位一体</w:t>
      </w:r>
      <w:r w:rsidRPr="003C1975">
        <w:rPr>
          <w:rFonts w:ascii="Helvetica" w:hAnsi="Helvetica" w:cs="Helvetica"/>
          <w:color w:val="3E3E3E"/>
          <w:kern w:val="0"/>
          <w:sz w:val="22"/>
          <w:szCs w:val="22"/>
        </w:rPr>
        <w:t>”</w:t>
      </w:r>
      <w:r w:rsidRPr="003C1975">
        <w:rPr>
          <w:rFonts w:ascii="Helvetica" w:hAnsi="Helvetica" w:cs="Helvetica"/>
          <w:color w:val="3E3E3E"/>
          <w:kern w:val="0"/>
          <w:sz w:val="22"/>
          <w:szCs w:val="22"/>
        </w:rPr>
        <w:t>总体布局和</w:t>
      </w:r>
      <w:r w:rsidRPr="003C1975">
        <w:rPr>
          <w:rFonts w:ascii="Helvetica" w:hAnsi="Helvetica" w:cs="Helvetica"/>
          <w:color w:val="3E3E3E"/>
          <w:kern w:val="0"/>
          <w:sz w:val="22"/>
          <w:szCs w:val="22"/>
        </w:rPr>
        <w:t>“</w:t>
      </w:r>
      <w:r w:rsidRPr="003C1975">
        <w:rPr>
          <w:rFonts w:ascii="Helvetica" w:hAnsi="Helvetica" w:cs="Helvetica"/>
          <w:color w:val="3E3E3E"/>
          <w:kern w:val="0"/>
          <w:sz w:val="22"/>
          <w:szCs w:val="22"/>
        </w:rPr>
        <w:t>四个全面</w:t>
      </w:r>
      <w:r w:rsidRPr="003C1975">
        <w:rPr>
          <w:rFonts w:ascii="Helvetica" w:hAnsi="Helvetica" w:cs="Helvetica"/>
          <w:color w:val="3E3E3E"/>
          <w:kern w:val="0"/>
          <w:sz w:val="22"/>
          <w:szCs w:val="22"/>
        </w:rPr>
        <w:t>”</w:t>
      </w:r>
      <w:r w:rsidRPr="003C1975">
        <w:rPr>
          <w:rFonts w:ascii="Helvetica" w:hAnsi="Helvetica" w:cs="Helvetica"/>
          <w:color w:val="3E3E3E"/>
          <w:kern w:val="0"/>
          <w:sz w:val="22"/>
          <w:szCs w:val="22"/>
        </w:rPr>
        <w:t>战略布局，牢固树立和贯彻落实创新、协调、绿色、开放、共享的发展理念，全面推进资源税改革，有效发挥税收杠杆调节作用，促进资源行业持续健康发展，推动经济结构调整和发展方式转变。</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（二）基本原则。</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一是清费立税。着力解决当前存在的税费重叠、功能交叉问题，将矿产资源补偿费等收费基金适当并入资源税，取缔违规、越权设立的各项收费基金，进一步理顺税费关系。</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二是合理负担。兼顾企业经营的实际情况和承受能力，借鉴煤炭等资源税费改革经验，合理确定资源税计税依据和税率水平，增强税收弹性，总体上不增加企业税费负担。</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三是适度分权。结合我国资源分布不均衡、地域差异较大等实际情况，在不影响全国统一市场秩序前提下，赋予地方适当的税政管理权。</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四是循序渐进。在煤炭、原油、天然气等已实施从价计征改革基础上，对其他矿产资源全面实施改革。积极创造条件，逐步对水、森林、草场、滩涂等自然资源开征资源税。</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（三）主要目标。</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通过全面实施清费立税、从价计征改革，理顺资源税费关系，建立规范公平、调控合理、征管高效的资源税制度，有效发挥其组织收入、调控经济、促进资源节约集约利用和生态环境保护的作用。</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b/>
          <w:bCs/>
          <w:color w:val="FFFFFF"/>
          <w:kern w:val="0"/>
          <w:sz w:val="22"/>
        </w:rPr>
        <w:t>二、资源税改革的主要内容</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（一）扩大资源税征收范围。</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1</w:t>
      </w:r>
      <w:r w:rsidRPr="003C1975">
        <w:rPr>
          <w:rFonts w:ascii="Helvetica" w:hAnsi="Helvetica" w:cs="Helvetica"/>
          <w:color w:val="3E3E3E"/>
          <w:kern w:val="0"/>
          <w:sz w:val="22"/>
          <w:szCs w:val="22"/>
        </w:rPr>
        <w:t>．开展水资源税改革试点工作。鉴于取用水资源涉及面广、情况复杂，为确保改革平稳有序实施，先在河北省开展水资源税试点。河北省开征水资源</w:t>
      </w:r>
      <w:proofErr w:type="gramStart"/>
      <w:r w:rsidRPr="003C1975">
        <w:rPr>
          <w:rFonts w:ascii="Helvetica" w:hAnsi="Helvetica" w:cs="Helvetica"/>
          <w:color w:val="3E3E3E"/>
          <w:kern w:val="0"/>
          <w:sz w:val="22"/>
          <w:szCs w:val="22"/>
        </w:rPr>
        <w:t>税试点</w:t>
      </w:r>
      <w:proofErr w:type="gramEnd"/>
      <w:r w:rsidRPr="003C1975">
        <w:rPr>
          <w:rFonts w:ascii="Helvetica" w:hAnsi="Helvetica" w:cs="Helvetica"/>
          <w:color w:val="3E3E3E"/>
          <w:kern w:val="0"/>
          <w:sz w:val="22"/>
          <w:szCs w:val="22"/>
        </w:rPr>
        <w:t>工作，采取水资源费改税方式，将地表水和地下水纳入征税范围，实行从量定额计征，对高耗水行业、超计划用水以及在地下水超采地区取用地下水，适当提高税额标准，正常生产生活用水维持原有负担水平不变。在总结试点经验基础上，财政部、国家税务总局将选择其他地区逐步扩大试点范围，条件成熟后在全国推开。</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lastRenderedPageBreak/>
        <w:t xml:space="preserve">　　</w:t>
      </w:r>
      <w:r w:rsidRPr="003C1975">
        <w:rPr>
          <w:rFonts w:ascii="Helvetica" w:hAnsi="Helvetica" w:cs="Helvetica"/>
          <w:color w:val="3E3E3E"/>
          <w:kern w:val="0"/>
          <w:sz w:val="22"/>
          <w:szCs w:val="22"/>
        </w:rPr>
        <w:t>2</w:t>
      </w:r>
      <w:r w:rsidRPr="003C1975">
        <w:rPr>
          <w:rFonts w:ascii="Helvetica" w:hAnsi="Helvetica" w:cs="Helvetica"/>
          <w:color w:val="3E3E3E"/>
          <w:kern w:val="0"/>
          <w:sz w:val="22"/>
          <w:szCs w:val="22"/>
        </w:rPr>
        <w:t>．逐步将其他自然资源纳入征收范围。鉴于森林、草场、滩涂等资源在各地区的市场开发利用情况不尽相同，对其全面开征资源税条件尚不成熟，此次改革不在全国范围统一规定对森林、草场、滩涂等资源征税。各省、自治区、直辖市（以下统称省级）人民政府可以结合本地实际，根据森林、草场、滩涂等资源开发利用情况提出征收资源税的具体方案建议，报国务院批准后实施。</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（二）实施矿产资源税从价计征改革。</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1</w:t>
      </w:r>
      <w:r w:rsidRPr="003C1975">
        <w:rPr>
          <w:rFonts w:ascii="Helvetica" w:hAnsi="Helvetica" w:cs="Helvetica"/>
          <w:color w:val="3E3E3E"/>
          <w:kern w:val="0"/>
          <w:sz w:val="22"/>
          <w:szCs w:val="22"/>
        </w:rPr>
        <w:t>．对《资源税税目税率幅度表》（见附件）中列举名称的</w:t>
      </w:r>
      <w:r w:rsidRPr="003C1975">
        <w:rPr>
          <w:rFonts w:ascii="Helvetica" w:hAnsi="Helvetica" w:cs="Helvetica"/>
          <w:color w:val="3E3E3E"/>
          <w:kern w:val="0"/>
          <w:sz w:val="22"/>
          <w:szCs w:val="22"/>
        </w:rPr>
        <w:t>21</w:t>
      </w:r>
      <w:r w:rsidRPr="003C1975">
        <w:rPr>
          <w:rFonts w:ascii="Helvetica" w:hAnsi="Helvetica" w:cs="Helvetica"/>
          <w:color w:val="3E3E3E"/>
          <w:kern w:val="0"/>
          <w:sz w:val="22"/>
          <w:szCs w:val="22"/>
        </w:rPr>
        <w:t>种资源品目和未列举名称的其他金属矿实行从价计征，计税依据由原矿销售量调整为原矿、精矿（或原矿加工品）、氯化钠初级产品或金锭的销售额。列举名称的</w:t>
      </w:r>
      <w:r w:rsidRPr="003C1975">
        <w:rPr>
          <w:rFonts w:ascii="Helvetica" w:hAnsi="Helvetica" w:cs="Helvetica"/>
          <w:color w:val="3E3E3E"/>
          <w:kern w:val="0"/>
          <w:sz w:val="22"/>
          <w:szCs w:val="22"/>
        </w:rPr>
        <w:t>21</w:t>
      </w:r>
      <w:r w:rsidRPr="003C1975">
        <w:rPr>
          <w:rFonts w:ascii="Helvetica" w:hAnsi="Helvetica" w:cs="Helvetica"/>
          <w:color w:val="3E3E3E"/>
          <w:kern w:val="0"/>
          <w:sz w:val="22"/>
          <w:szCs w:val="22"/>
        </w:rPr>
        <w:t>种资源品目包括：铁矿、金矿、铜矿、铝土矿、铅锌矿、镍矿、锡矿、石墨、硅藻土、高岭土、萤石、石灰石、硫铁矿、磷矿、氯化钾、硫酸钾、井矿盐、湖盐、提取地下卤水晒制的盐、煤层（成）气、海盐。</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对经营分散、多为现金交易且难以控管的粘土、砂石，按照便利征管原则，仍实行从量定额计征。</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2</w:t>
      </w:r>
      <w:r w:rsidRPr="003C1975">
        <w:rPr>
          <w:rFonts w:ascii="Helvetica" w:hAnsi="Helvetica" w:cs="Helvetica"/>
          <w:color w:val="3E3E3E"/>
          <w:kern w:val="0"/>
          <w:sz w:val="22"/>
          <w:szCs w:val="22"/>
        </w:rPr>
        <w:t>．对《资源税税目税率幅度表》中未列举名称的其他非金属矿产品，按照从价计征为主、从量计征为辅的原则，由省级人民政府确定计征方式。</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（三）全面清理涉及矿产资源的收费基金。</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1</w:t>
      </w:r>
      <w:r w:rsidRPr="003C1975">
        <w:rPr>
          <w:rFonts w:ascii="Helvetica" w:hAnsi="Helvetica" w:cs="Helvetica"/>
          <w:color w:val="3E3E3E"/>
          <w:kern w:val="0"/>
          <w:sz w:val="22"/>
          <w:szCs w:val="22"/>
        </w:rPr>
        <w:t>．在实施资源税从价计征改革的同时，将全部资源品目矿产资源补偿费费率降为零，停止征收价格调节基金，取缔地方针对矿产资源违规设立的各种收费基金项目。</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2</w:t>
      </w:r>
      <w:r w:rsidRPr="003C1975">
        <w:rPr>
          <w:rFonts w:ascii="Helvetica" w:hAnsi="Helvetica" w:cs="Helvetica"/>
          <w:color w:val="3E3E3E"/>
          <w:kern w:val="0"/>
          <w:sz w:val="22"/>
          <w:szCs w:val="22"/>
        </w:rPr>
        <w:t>．地方各级财政部门要会同有关部门对涉及矿产资源的收费基金进行全面清理。凡不符合国家规定、地方越权出台的收费基金项目要一律取消。对确需保留的依法合</w:t>
      </w:r>
      <w:proofErr w:type="gramStart"/>
      <w:r w:rsidRPr="003C1975">
        <w:rPr>
          <w:rFonts w:ascii="Helvetica" w:hAnsi="Helvetica" w:cs="Helvetica"/>
          <w:color w:val="3E3E3E"/>
          <w:kern w:val="0"/>
          <w:sz w:val="22"/>
          <w:szCs w:val="22"/>
        </w:rPr>
        <w:t>规</w:t>
      </w:r>
      <w:proofErr w:type="gramEnd"/>
      <w:r w:rsidRPr="003C1975">
        <w:rPr>
          <w:rFonts w:ascii="Helvetica" w:hAnsi="Helvetica" w:cs="Helvetica"/>
          <w:color w:val="3E3E3E"/>
          <w:kern w:val="0"/>
          <w:sz w:val="22"/>
          <w:szCs w:val="22"/>
        </w:rPr>
        <w:t>收费基金项目，要严格按规定的征收范围和标准执行，切实规范征收行为。</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（四）合理确定资源税税率水平。</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1</w:t>
      </w:r>
      <w:r w:rsidRPr="003C1975">
        <w:rPr>
          <w:rFonts w:ascii="Helvetica" w:hAnsi="Helvetica" w:cs="Helvetica"/>
          <w:color w:val="3E3E3E"/>
          <w:kern w:val="0"/>
          <w:sz w:val="22"/>
          <w:szCs w:val="22"/>
        </w:rPr>
        <w:t>．对《资源税税目税率幅度表》中列举名称的资源品目，由省级人民政府在规定的税率幅度内提出具体适用税率建议，报财政部、国家税务总局确定核准。</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2</w:t>
      </w:r>
      <w:r w:rsidRPr="003C1975">
        <w:rPr>
          <w:rFonts w:ascii="Helvetica" w:hAnsi="Helvetica" w:cs="Helvetica"/>
          <w:color w:val="3E3E3E"/>
          <w:kern w:val="0"/>
          <w:sz w:val="22"/>
          <w:szCs w:val="22"/>
        </w:rPr>
        <w:t>．对未列举名称的其他金属和非金属矿产品，由省级人民政府根据实际情况确定具体税目和适用税率，报财政部、国家税务总局备案。</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3</w:t>
      </w:r>
      <w:r w:rsidRPr="003C1975">
        <w:rPr>
          <w:rFonts w:ascii="Helvetica" w:hAnsi="Helvetica" w:cs="Helvetica"/>
          <w:color w:val="3E3E3E"/>
          <w:kern w:val="0"/>
          <w:sz w:val="22"/>
          <w:szCs w:val="22"/>
        </w:rPr>
        <w:t>．省级人民政府在提出和确定适用税率时，要结合当前矿产企业实际生产经营情况，遵循改革前后税费平移原则，充分考虑企业负担能力。</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（五）加强矿产资源税收优惠政策管理，提高资源综合利用效率。</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1</w:t>
      </w:r>
      <w:r w:rsidRPr="003C1975">
        <w:rPr>
          <w:rFonts w:ascii="Helvetica" w:hAnsi="Helvetica" w:cs="Helvetica"/>
          <w:color w:val="3E3E3E"/>
          <w:kern w:val="0"/>
          <w:sz w:val="22"/>
          <w:szCs w:val="22"/>
        </w:rPr>
        <w:t>．对符合条件的采用充填开采方式采出的矿产资源，资源税减征</w:t>
      </w:r>
      <w:r w:rsidRPr="003C1975">
        <w:rPr>
          <w:rFonts w:ascii="Helvetica" w:hAnsi="Helvetica" w:cs="Helvetica"/>
          <w:color w:val="3E3E3E"/>
          <w:kern w:val="0"/>
          <w:sz w:val="22"/>
          <w:szCs w:val="22"/>
        </w:rPr>
        <w:t>50%</w:t>
      </w:r>
      <w:r w:rsidRPr="003C1975">
        <w:rPr>
          <w:rFonts w:ascii="Helvetica" w:hAnsi="Helvetica" w:cs="Helvetica"/>
          <w:color w:val="3E3E3E"/>
          <w:kern w:val="0"/>
          <w:sz w:val="22"/>
          <w:szCs w:val="22"/>
        </w:rPr>
        <w:t>；对符合条件的衰竭期矿山开采的矿产资源，资源税减征</w:t>
      </w:r>
      <w:r w:rsidRPr="003C1975">
        <w:rPr>
          <w:rFonts w:ascii="Helvetica" w:hAnsi="Helvetica" w:cs="Helvetica"/>
          <w:color w:val="3E3E3E"/>
          <w:kern w:val="0"/>
          <w:sz w:val="22"/>
          <w:szCs w:val="22"/>
        </w:rPr>
        <w:t>30%</w:t>
      </w:r>
      <w:r w:rsidRPr="003C1975">
        <w:rPr>
          <w:rFonts w:ascii="Helvetica" w:hAnsi="Helvetica" w:cs="Helvetica"/>
          <w:color w:val="3E3E3E"/>
          <w:kern w:val="0"/>
          <w:sz w:val="22"/>
          <w:szCs w:val="22"/>
        </w:rPr>
        <w:t>。具体认定条件由财政部、国家税务总局规定。</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2</w:t>
      </w:r>
      <w:r w:rsidRPr="003C1975">
        <w:rPr>
          <w:rFonts w:ascii="Helvetica" w:hAnsi="Helvetica" w:cs="Helvetica"/>
          <w:color w:val="3E3E3E"/>
          <w:kern w:val="0"/>
          <w:sz w:val="22"/>
          <w:szCs w:val="22"/>
        </w:rPr>
        <w:t>．对鼓励利用的低品位矿、废石、尾矿、废渣、废水、废气等提取的矿产品，由省级人民政府根据实际情况确定是否减税或免税，并制定具体办法。</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（六）关于收入分配体制及经费保障。</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1</w:t>
      </w:r>
      <w:r w:rsidRPr="003C1975">
        <w:rPr>
          <w:rFonts w:ascii="Helvetica" w:hAnsi="Helvetica" w:cs="Helvetica"/>
          <w:color w:val="3E3E3E"/>
          <w:kern w:val="0"/>
          <w:sz w:val="22"/>
          <w:szCs w:val="22"/>
        </w:rPr>
        <w:t>．按照现行财政管理体制，此次纳入改革的矿产资源税收入全部为地方财政收入。</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lastRenderedPageBreak/>
        <w:t xml:space="preserve">　　</w:t>
      </w:r>
      <w:r w:rsidRPr="003C1975">
        <w:rPr>
          <w:rFonts w:ascii="Helvetica" w:hAnsi="Helvetica" w:cs="Helvetica"/>
          <w:color w:val="3E3E3E"/>
          <w:kern w:val="0"/>
          <w:sz w:val="22"/>
          <w:szCs w:val="22"/>
        </w:rPr>
        <w:t>2</w:t>
      </w:r>
      <w:r w:rsidRPr="003C1975">
        <w:rPr>
          <w:rFonts w:ascii="Helvetica" w:hAnsi="Helvetica" w:cs="Helvetica"/>
          <w:color w:val="3E3E3E"/>
          <w:kern w:val="0"/>
          <w:sz w:val="22"/>
          <w:szCs w:val="22"/>
        </w:rPr>
        <w:t>．水资源税仍按水资源费中央与地方</w:t>
      </w:r>
      <w:r w:rsidRPr="003C1975">
        <w:rPr>
          <w:rFonts w:ascii="Helvetica" w:hAnsi="Helvetica" w:cs="Helvetica"/>
          <w:color w:val="3E3E3E"/>
          <w:kern w:val="0"/>
          <w:sz w:val="22"/>
          <w:szCs w:val="22"/>
        </w:rPr>
        <w:t>1:9</w:t>
      </w:r>
      <w:r w:rsidRPr="003C1975">
        <w:rPr>
          <w:rFonts w:ascii="Helvetica" w:hAnsi="Helvetica" w:cs="Helvetica"/>
          <w:color w:val="3E3E3E"/>
          <w:kern w:val="0"/>
          <w:sz w:val="22"/>
          <w:szCs w:val="22"/>
        </w:rPr>
        <w:t>的分成比例不变。河北省在缴纳南水北调工程基金期间，水资源税收入全部留给该省。</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3</w:t>
      </w:r>
      <w:r w:rsidRPr="003C1975">
        <w:rPr>
          <w:rFonts w:ascii="Helvetica" w:hAnsi="Helvetica" w:cs="Helvetica"/>
          <w:color w:val="3E3E3E"/>
          <w:kern w:val="0"/>
          <w:sz w:val="22"/>
          <w:szCs w:val="22"/>
        </w:rPr>
        <w:t>．资源税改革实施后，相关部门履行正常工作职责所需经费，由中央和地方财政统筹安排和保障。</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（七）关于实施时间。</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1</w:t>
      </w:r>
      <w:r w:rsidRPr="003C1975">
        <w:rPr>
          <w:rFonts w:ascii="Helvetica" w:hAnsi="Helvetica" w:cs="Helvetica"/>
          <w:color w:val="3E3E3E"/>
          <w:kern w:val="0"/>
          <w:sz w:val="22"/>
          <w:szCs w:val="22"/>
        </w:rPr>
        <w:t>．此次资源税从价计征改革及水资源税改革试点，自</w:t>
      </w:r>
      <w:r w:rsidRPr="003C1975">
        <w:rPr>
          <w:rFonts w:ascii="Helvetica" w:hAnsi="Helvetica" w:cs="Helvetica"/>
          <w:color w:val="3E3E3E"/>
          <w:kern w:val="0"/>
          <w:sz w:val="22"/>
          <w:szCs w:val="22"/>
        </w:rPr>
        <w:t>2016</w:t>
      </w:r>
      <w:r w:rsidRPr="003C1975">
        <w:rPr>
          <w:rFonts w:ascii="Helvetica" w:hAnsi="Helvetica" w:cs="Helvetica"/>
          <w:color w:val="3E3E3E"/>
          <w:kern w:val="0"/>
          <w:sz w:val="22"/>
          <w:szCs w:val="22"/>
        </w:rPr>
        <w:t>年</w:t>
      </w:r>
      <w:r w:rsidRPr="003C1975">
        <w:rPr>
          <w:rFonts w:ascii="Helvetica" w:hAnsi="Helvetica" w:cs="Helvetica"/>
          <w:color w:val="3E3E3E"/>
          <w:kern w:val="0"/>
          <w:sz w:val="22"/>
          <w:szCs w:val="22"/>
        </w:rPr>
        <w:t>7</w:t>
      </w:r>
      <w:r w:rsidRPr="003C1975">
        <w:rPr>
          <w:rFonts w:ascii="Helvetica" w:hAnsi="Helvetica" w:cs="Helvetica"/>
          <w:color w:val="3E3E3E"/>
          <w:kern w:val="0"/>
          <w:sz w:val="22"/>
          <w:szCs w:val="22"/>
        </w:rPr>
        <w:t>月</w:t>
      </w:r>
      <w:r w:rsidRPr="003C1975">
        <w:rPr>
          <w:rFonts w:ascii="Helvetica" w:hAnsi="Helvetica" w:cs="Helvetica"/>
          <w:color w:val="3E3E3E"/>
          <w:kern w:val="0"/>
          <w:sz w:val="22"/>
          <w:szCs w:val="22"/>
        </w:rPr>
        <w:t>1</w:t>
      </w:r>
      <w:r w:rsidRPr="003C1975">
        <w:rPr>
          <w:rFonts w:ascii="Helvetica" w:hAnsi="Helvetica" w:cs="Helvetica"/>
          <w:color w:val="3E3E3E"/>
          <w:kern w:val="0"/>
          <w:sz w:val="22"/>
          <w:szCs w:val="22"/>
        </w:rPr>
        <w:t>日起实施。</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2</w:t>
      </w:r>
      <w:r w:rsidRPr="003C1975">
        <w:rPr>
          <w:rFonts w:ascii="Helvetica" w:hAnsi="Helvetica" w:cs="Helvetica"/>
          <w:color w:val="3E3E3E"/>
          <w:kern w:val="0"/>
          <w:sz w:val="22"/>
          <w:szCs w:val="22"/>
        </w:rPr>
        <w:t>．已实施从价计征的原油、天然气、煤炭、稀土、钨、</w:t>
      </w:r>
      <w:proofErr w:type="gramStart"/>
      <w:r w:rsidRPr="003C1975">
        <w:rPr>
          <w:rFonts w:ascii="Helvetica" w:hAnsi="Helvetica" w:cs="Helvetica"/>
          <w:color w:val="3E3E3E"/>
          <w:kern w:val="0"/>
          <w:sz w:val="22"/>
          <w:szCs w:val="22"/>
        </w:rPr>
        <w:t>钼</w:t>
      </w:r>
      <w:proofErr w:type="gramEnd"/>
      <w:r w:rsidRPr="003C1975">
        <w:rPr>
          <w:rFonts w:ascii="Helvetica" w:hAnsi="Helvetica" w:cs="Helvetica"/>
          <w:color w:val="3E3E3E"/>
          <w:kern w:val="0"/>
          <w:sz w:val="22"/>
          <w:szCs w:val="22"/>
        </w:rPr>
        <w:t>等</w:t>
      </w:r>
      <w:r w:rsidRPr="003C1975">
        <w:rPr>
          <w:rFonts w:ascii="Helvetica" w:hAnsi="Helvetica" w:cs="Helvetica"/>
          <w:color w:val="3E3E3E"/>
          <w:kern w:val="0"/>
          <w:sz w:val="22"/>
          <w:szCs w:val="22"/>
        </w:rPr>
        <w:t>6</w:t>
      </w:r>
      <w:r w:rsidRPr="003C1975">
        <w:rPr>
          <w:rFonts w:ascii="Helvetica" w:hAnsi="Helvetica" w:cs="Helvetica"/>
          <w:color w:val="3E3E3E"/>
          <w:kern w:val="0"/>
          <w:sz w:val="22"/>
          <w:szCs w:val="22"/>
        </w:rPr>
        <w:t>个资源品目资源税政策暂不调整，仍按原办法执行。</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b/>
          <w:bCs/>
          <w:color w:val="FFFFFF"/>
          <w:kern w:val="0"/>
          <w:sz w:val="22"/>
        </w:rPr>
        <w:t>三、做好资源税改革工作的要求</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一）加强组织领导。各省级人民政府要加强对资源税改革工作的领导，建立由财税部门牵头、相关部门配合的工作机制，及时制定工作方案和配套政策，统筹安排做好各项工作，确保改革积极稳妥推进。对改革中出现的新情况新问题，要采取适当措施妥善加以解决，重大问题及时向财政部、国家税务总局报告。</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二）认真测算和上报资源税税率。各省级财税部门要对本地区资源税税源情况、企业经营和税费负担状况、资源价格水平等进行全面调查，在充分听取企业意见基础上，对《资源税税目税率幅度表》中列举名称的</w:t>
      </w:r>
      <w:r w:rsidRPr="003C1975">
        <w:rPr>
          <w:rFonts w:ascii="Helvetica" w:hAnsi="Helvetica" w:cs="Helvetica"/>
          <w:color w:val="3E3E3E"/>
          <w:kern w:val="0"/>
          <w:sz w:val="22"/>
          <w:szCs w:val="22"/>
        </w:rPr>
        <w:t>21</w:t>
      </w:r>
      <w:r w:rsidRPr="003C1975">
        <w:rPr>
          <w:rFonts w:ascii="Helvetica" w:hAnsi="Helvetica" w:cs="Helvetica"/>
          <w:color w:val="3E3E3E"/>
          <w:kern w:val="0"/>
          <w:sz w:val="22"/>
          <w:szCs w:val="22"/>
        </w:rPr>
        <w:t>种实行从价计征的资源品目和粘土、砂石提出资源税税率建议，报经省级人民政府同意后，于</w:t>
      </w:r>
      <w:r w:rsidRPr="003C1975">
        <w:rPr>
          <w:rFonts w:ascii="Helvetica" w:hAnsi="Helvetica" w:cs="Helvetica"/>
          <w:color w:val="3E3E3E"/>
          <w:kern w:val="0"/>
          <w:sz w:val="22"/>
          <w:szCs w:val="22"/>
        </w:rPr>
        <w:t>2016</w:t>
      </w:r>
      <w:r w:rsidRPr="003C1975">
        <w:rPr>
          <w:rFonts w:ascii="Helvetica" w:hAnsi="Helvetica" w:cs="Helvetica"/>
          <w:color w:val="3E3E3E"/>
          <w:kern w:val="0"/>
          <w:sz w:val="22"/>
          <w:szCs w:val="22"/>
        </w:rPr>
        <w:t>年</w:t>
      </w:r>
      <w:r w:rsidRPr="003C1975">
        <w:rPr>
          <w:rFonts w:ascii="Helvetica" w:hAnsi="Helvetica" w:cs="Helvetica"/>
          <w:color w:val="3E3E3E"/>
          <w:kern w:val="0"/>
          <w:sz w:val="22"/>
          <w:szCs w:val="22"/>
        </w:rPr>
        <w:t>5</w:t>
      </w:r>
      <w:r w:rsidRPr="003C1975">
        <w:rPr>
          <w:rFonts w:ascii="Helvetica" w:hAnsi="Helvetica" w:cs="Helvetica"/>
          <w:color w:val="3E3E3E"/>
          <w:kern w:val="0"/>
          <w:sz w:val="22"/>
          <w:szCs w:val="22"/>
        </w:rPr>
        <w:t>月</w:t>
      </w:r>
      <w:r w:rsidRPr="003C1975">
        <w:rPr>
          <w:rFonts w:ascii="Helvetica" w:hAnsi="Helvetica" w:cs="Helvetica"/>
          <w:color w:val="3E3E3E"/>
          <w:kern w:val="0"/>
          <w:sz w:val="22"/>
          <w:szCs w:val="22"/>
        </w:rPr>
        <w:t>31</w:t>
      </w:r>
      <w:r w:rsidRPr="003C1975">
        <w:rPr>
          <w:rFonts w:ascii="Helvetica" w:hAnsi="Helvetica" w:cs="Helvetica"/>
          <w:color w:val="3E3E3E"/>
          <w:kern w:val="0"/>
          <w:sz w:val="22"/>
          <w:szCs w:val="22"/>
        </w:rPr>
        <w:t>日前以正式文件报送财政部、国家税务总局，同时附送税率测算依据和相关数据（包括税费项目及收入规模，应税产品销售量、价格等）。计划单列市资源税税率由所在省份统一测算报送。</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三）确保清费工作落实到位。各地区、各有关部门要严格执行中央统一规定，对涉及矿产资源的收费基金进行全面清理，落实取消或停征收费基金的政策，不得以任何理由拖延或者拒绝执行，不得以其他名目变相继续收费。对不按规定取消或停征有关收费基金、未按要求做好收费基金清理工作的，要予以严肃查处，并追究相关责任人的行政责任。各省级人民政府要组织开展监督检查，确保清理收费基金工作与资源税改革同步实施、落实到位，并于</w:t>
      </w:r>
      <w:r w:rsidRPr="003C1975">
        <w:rPr>
          <w:rFonts w:ascii="Helvetica" w:hAnsi="Helvetica" w:cs="Helvetica"/>
          <w:color w:val="3E3E3E"/>
          <w:kern w:val="0"/>
          <w:sz w:val="22"/>
          <w:szCs w:val="22"/>
        </w:rPr>
        <w:t>2016</w:t>
      </w:r>
      <w:r w:rsidRPr="003C1975">
        <w:rPr>
          <w:rFonts w:ascii="Helvetica" w:hAnsi="Helvetica" w:cs="Helvetica"/>
          <w:color w:val="3E3E3E"/>
          <w:kern w:val="0"/>
          <w:sz w:val="22"/>
          <w:szCs w:val="22"/>
        </w:rPr>
        <w:t>年</w:t>
      </w:r>
      <w:r w:rsidRPr="003C1975">
        <w:rPr>
          <w:rFonts w:ascii="Helvetica" w:hAnsi="Helvetica" w:cs="Helvetica"/>
          <w:color w:val="3E3E3E"/>
          <w:kern w:val="0"/>
          <w:sz w:val="22"/>
          <w:szCs w:val="22"/>
        </w:rPr>
        <w:t>9</w:t>
      </w:r>
      <w:r w:rsidRPr="003C1975">
        <w:rPr>
          <w:rFonts w:ascii="Helvetica" w:hAnsi="Helvetica" w:cs="Helvetica"/>
          <w:color w:val="3E3E3E"/>
          <w:kern w:val="0"/>
          <w:sz w:val="22"/>
          <w:szCs w:val="22"/>
        </w:rPr>
        <w:t>月</w:t>
      </w:r>
      <w:r w:rsidRPr="003C1975">
        <w:rPr>
          <w:rFonts w:ascii="Helvetica" w:hAnsi="Helvetica" w:cs="Helvetica"/>
          <w:color w:val="3E3E3E"/>
          <w:kern w:val="0"/>
          <w:sz w:val="22"/>
          <w:szCs w:val="22"/>
        </w:rPr>
        <w:t>30</w:t>
      </w:r>
      <w:r w:rsidRPr="003C1975">
        <w:rPr>
          <w:rFonts w:ascii="Helvetica" w:hAnsi="Helvetica" w:cs="Helvetica"/>
          <w:color w:val="3E3E3E"/>
          <w:kern w:val="0"/>
          <w:sz w:val="22"/>
          <w:szCs w:val="22"/>
        </w:rPr>
        <w:t>日前将本地区清理收费措施及成效报财政部、国家税务总局。</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四）做好水资源税改革试点工作。河北省人民政府要加强对水资源税改革试点工作的领导，建立试点工作推进机制，及时制定试点实施办法，研究试点重大问题，督促任务落实。河北省财税部门要与相关部门密切配合、形成合力，深入基层加强调查研究，跟踪分析试点运行情况，及时向财政部、国家税务总局等部门报告试点工作进展情况和重大政策问题。</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五）加强宣传引导。各地区和有关部门要广泛深入宣传推进资源税改革的重要意义，加强政策解读，回应社会关切，稳定社会预期，积极营造良好的改革氛围和舆论环境。要加强对纳税人的培训，优化纳税服务，提高纳税人税法遵从度。</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全面推进资源税改革涉及面广、企业关注度高、工作任务重，各地区、各有关部门要提高认识，把思想和行动统一到党中央、国务院的决策部署上来，切实增强责任感、紧迫感和大局意识，积极主动作为，扎实推进各项工作，确保改革平稳有序实施。</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附件：资源税税目税率幅度表</w:t>
      </w:r>
    </w:p>
    <w:p w:rsidR="003C1975" w:rsidRPr="003C1975" w:rsidRDefault="003C1975" w:rsidP="003C1975">
      <w:pPr>
        <w:widowControl/>
        <w:shd w:val="clear" w:color="auto" w:fill="FFFFFF"/>
        <w:spacing w:line="360" w:lineRule="atLeast"/>
        <w:ind w:firstLineChars="0" w:firstLine="0"/>
        <w:jc w:val="right"/>
        <w:rPr>
          <w:rFonts w:ascii="Helvetica" w:hAnsi="Helvetica" w:cs="Helvetica"/>
          <w:color w:val="3E3E3E"/>
          <w:kern w:val="0"/>
          <w:sz w:val="19"/>
          <w:szCs w:val="19"/>
        </w:rPr>
      </w:pPr>
      <w:r w:rsidRPr="003C1975">
        <w:rPr>
          <w:rFonts w:ascii="Helvetica" w:hAnsi="Helvetica" w:cs="Helvetica"/>
          <w:color w:val="3E3E3E"/>
          <w:kern w:val="0"/>
          <w:sz w:val="22"/>
          <w:szCs w:val="22"/>
        </w:rPr>
        <w:lastRenderedPageBreak/>
        <w:t xml:space="preserve">　　财政部</w:t>
      </w: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国家税务总局</w:t>
      </w:r>
    </w:p>
    <w:p w:rsidR="003C1975" w:rsidRPr="003C1975" w:rsidRDefault="003C1975" w:rsidP="003C1975">
      <w:pPr>
        <w:widowControl/>
        <w:shd w:val="clear" w:color="auto" w:fill="FFFFFF"/>
        <w:spacing w:line="360" w:lineRule="atLeast"/>
        <w:ind w:firstLineChars="0" w:firstLine="0"/>
        <w:jc w:val="right"/>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2016</w:t>
      </w:r>
      <w:r w:rsidRPr="003C1975">
        <w:rPr>
          <w:rFonts w:ascii="Helvetica" w:hAnsi="Helvetica" w:cs="Helvetica"/>
          <w:color w:val="3E3E3E"/>
          <w:kern w:val="0"/>
          <w:sz w:val="22"/>
          <w:szCs w:val="22"/>
        </w:rPr>
        <w:t>年</w:t>
      </w:r>
      <w:r w:rsidRPr="003C1975">
        <w:rPr>
          <w:rFonts w:ascii="Helvetica" w:hAnsi="Helvetica" w:cs="Helvetica"/>
          <w:color w:val="3E3E3E"/>
          <w:kern w:val="0"/>
          <w:sz w:val="22"/>
          <w:szCs w:val="22"/>
        </w:rPr>
        <w:t>5</w:t>
      </w:r>
      <w:r w:rsidRPr="003C1975">
        <w:rPr>
          <w:rFonts w:ascii="Helvetica" w:hAnsi="Helvetica" w:cs="Helvetica"/>
          <w:color w:val="3E3E3E"/>
          <w:kern w:val="0"/>
          <w:sz w:val="22"/>
          <w:szCs w:val="22"/>
        </w:rPr>
        <w:t>月</w:t>
      </w:r>
      <w:r w:rsidRPr="003C1975">
        <w:rPr>
          <w:rFonts w:ascii="Helvetica" w:hAnsi="Helvetica" w:cs="Helvetica"/>
          <w:color w:val="3E3E3E"/>
          <w:kern w:val="0"/>
          <w:sz w:val="22"/>
          <w:szCs w:val="22"/>
        </w:rPr>
        <w:t>9</w:t>
      </w:r>
      <w:r w:rsidRPr="003C1975">
        <w:rPr>
          <w:rFonts w:ascii="Helvetica" w:hAnsi="Helvetica" w:cs="Helvetica"/>
          <w:color w:val="3E3E3E"/>
          <w:kern w:val="0"/>
          <w:sz w:val="22"/>
          <w:szCs w:val="22"/>
        </w:rPr>
        <w:t>日</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附件</w:t>
      </w:r>
    </w:p>
    <w:p w:rsidR="003C1975" w:rsidRPr="003C1975" w:rsidRDefault="003C1975" w:rsidP="003C1975">
      <w:pPr>
        <w:widowControl/>
        <w:shd w:val="clear" w:color="auto" w:fill="FFFFFF"/>
        <w:spacing w:line="360" w:lineRule="atLeast"/>
        <w:ind w:firstLineChars="0" w:firstLine="0"/>
        <w:jc w:val="center"/>
        <w:rPr>
          <w:rFonts w:ascii="Helvetica" w:hAnsi="Helvetica" w:cs="Helvetica"/>
          <w:color w:val="000000" w:themeColor="text1"/>
          <w:kern w:val="0"/>
          <w:sz w:val="19"/>
          <w:szCs w:val="19"/>
        </w:rPr>
      </w:pPr>
      <w:r w:rsidRPr="003C1975">
        <w:rPr>
          <w:rFonts w:ascii="Helvetica" w:hAnsi="Helvetica" w:cs="Helvetica"/>
          <w:b/>
          <w:bCs/>
          <w:color w:val="000000" w:themeColor="text1"/>
          <w:kern w:val="0"/>
          <w:sz w:val="22"/>
        </w:rPr>
        <w:t>资源税税目税率幅度表</w:t>
      </w:r>
    </w:p>
    <w:tbl>
      <w:tblPr>
        <w:tblW w:w="8040" w:type="dxa"/>
        <w:shd w:val="clear" w:color="auto" w:fill="FFFFFF"/>
        <w:tblCellMar>
          <w:left w:w="0" w:type="dxa"/>
          <w:right w:w="0" w:type="dxa"/>
        </w:tblCellMar>
        <w:tblLook w:val="04A0"/>
      </w:tblPr>
      <w:tblGrid>
        <w:gridCol w:w="738"/>
        <w:gridCol w:w="1239"/>
        <w:gridCol w:w="2241"/>
        <w:gridCol w:w="1318"/>
        <w:gridCol w:w="2504"/>
      </w:tblGrid>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序号</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税目</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征税对象</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税率幅度</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金属矿</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铁矿</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金矿</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金锭</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1%-4%</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3</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铜矿</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2%-8%</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4</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铝土矿</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原矿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3%-9%</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5</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铅锌矿</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6</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镍矿</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7</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锡矿</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8</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未列举名称的其他金属矿产品</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原矿或精矿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税率不超过</w:t>
            </w:r>
            <w:r w:rsidRPr="003C1975">
              <w:rPr>
                <w:rFonts w:ascii="Arial" w:hAnsi="Arial" w:cs="Arial"/>
                <w:color w:val="3E3E3E"/>
                <w:kern w:val="0"/>
                <w:sz w:val="14"/>
                <w:szCs w:val="14"/>
              </w:rPr>
              <w:t>20%</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9</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非金属矿</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石墨</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3%-10%</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10</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硅藻土</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11</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高岭土</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原矿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12</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萤石</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13</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石灰石</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原矿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14</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硫铁矿</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15</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磷矿</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原矿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3%-8%</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16</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氯化钾</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3%-8%</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17</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硫酸钾</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6%-12%</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18</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井矿盐</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氯化钠初级产品</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19</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湖盐</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氯化钠初级产品</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1%-6%</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20</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提取地下卤水晒制的盐</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氯化钠初级产品</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3%-15%</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21</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煤层（成）气</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原矿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1%-2%</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22</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粘土、砂石</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原矿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每吨或立方米</w:t>
            </w:r>
            <w:r w:rsidRPr="003C1975">
              <w:rPr>
                <w:rFonts w:ascii="Arial" w:hAnsi="Arial" w:cs="Arial"/>
                <w:color w:val="3E3E3E"/>
                <w:kern w:val="0"/>
                <w:sz w:val="14"/>
                <w:szCs w:val="14"/>
              </w:rPr>
              <w:t>0.1</w:t>
            </w:r>
            <w:r w:rsidRPr="003C1975">
              <w:rPr>
                <w:rFonts w:ascii="宋体" w:hAnsi="宋体" w:cs="Helvetica" w:hint="eastAsia"/>
                <w:color w:val="3E3E3E"/>
                <w:kern w:val="0"/>
                <w:sz w:val="14"/>
                <w:szCs w:val="14"/>
              </w:rPr>
              <w:t>元</w:t>
            </w:r>
            <w:r w:rsidRPr="003C1975">
              <w:rPr>
                <w:rFonts w:ascii="Arial" w:hAnsi="Arial" w:cs="Arial"/>
                <w:color w:val="3E3E3E"/>
                <w:kern w:val="0"/>
                <w:sz w:val="14"/>
                <w:szCs w:val="14"/>
              </w:rPr>
              <w:t>-5</w:t>
            </w:r>
            <w:r w:rsidRPr="003C1975">
              <w:rPr>
                <w:rFonts w:ascii="宋体" w:hAnsi="宋体" w:cs="Helvetica" w:hint="eastAsia"/>
                <w:color w:val="3E3E3E"/>
                <w:kern w:val="0"/>
                <w:sz w:val="14"/>
                <w:szCs w:val="14"/>
              </w:rPr>
              <w:t>元</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23</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ind w:firstLineChars="0" w:firstLine="0"/>
              <w:jc w:val="left"/>
              <w:rPr>
                <w:rFonts w:ascii="Helvetica" w:hAnsi="Helvetica" w:cs="Helvetica"/>
                <w:color w:val="3E3E3E"/>
                <w:kern w:val="0"/>
                <w:sz w:val="19"/>
                <w:szCs w:val="19"/>
              </w:rPr>
            </w:pP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未列举名称的其他非金属矿产品</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原矿或精矿</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从量税率每吨或立方米不超过</w:t>
            </w:r>
            <w:r w:rsidRPr="003C1975">
              <w:rPr>
                <w:rFonts w:ascii="Arial" w:hAnsi="Arial" w:cs="Arial"/>
                <w:color w:val="3E3E3E"/>
                <w:kern w:val="0"/>
                <w:sz w:val="14"/>
                <w:szCs w:val="14"/>
              </w:rPr>
              <w:t>30</w:t>
            </w:r>
            <w:r w:rsidRPr="003C1975">
              <w:rPr>
                <w:rFonts w:ascii="宋体" w:hAnsi="宋体" w:cs="Helvetica" w:hint="eastAsia"/>
                <w:color w:val="3E3E3E"/>
                <w:kern w:val="0"/>
                <w:sz w:val="14"/>
                <w:szCs w:val="14"/>
              </w:rPr>
              <w:t>元；从价税率不超过</w:t>
            </w:r>
            <w:r w:rsidRPr="003C1975">
              <w:rPr>
                <w:rFonts w:ascii="Arial" w:hAnsi="Arial" w:cs="Arial"/>
                <w:color w:val="3E3E3E"/>
                <w:kern w:val="0"/>
                <w:sz w:val="14"/>
                <w:szCs w:val="14"/>
              </w:rPr>
              <w:t>20%</w:t>
            </w:r>
          </w:p>
        </w:tc>
      </w:tr>
      <w:tr w:rsidR="003C1975" w:rsidRPr="003C1975" w:rsidTr="003C1975">
        <w:tc>
          <w:tcPr>
            <w:tcW w:w="3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24</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海盐</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宋体" w:hAnsi="宋体" w:cs="Helvetica" w:hint="eastAsia"/>
                <w:color w:val="3E3E3E"/>
                <w:kern w:val="0"/>
                <w:sz w:val="14"/>
                <w:szCs w:val="14"/>
              </w:rPr>
              <w:t xml:space="preserve">　　氯化钠初级产品</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1975" w:rsidRPr="003C1975" w:rsidRDefault="003C1975" w:rsidP="003C1975">
            <w:pPr>
              <w:widowControl/>
              <w:wordWrap w:val="0"/>
              <w:spacing w:line="346" w:lineRule="atLeast"/>
              <w:ind w:firstLineChars="0" w:firstLine="0"/>
              <w:jc w:val="left"/>
              <w:rPr>
                <w:rFonts w:ascii="Helvetica" w:hAnsi="Helvetica" w:cs="Helvetica"/>
                <w:color w:val="3E3E3E"/>
                <w:kern w:val="0"/>
                <w:sz w:val="19"/>
                <w:szCs w:val="19"/>
              </w:rPr>
            </w:pPr>
            <w:r w:rsidRPr="003C1975">
              <w:rPr>
                <w:rFonts w:ascii="Arial" w:hAnsi="Arial" w:cs="Arial"/>
                <w:color w:val="3E3E3E"/>
                <w:kern w:val="0"/>
                <w:sz w:val="14"/>
                <w:szCs w:val="14"/>
              </w:rPr>
              <w:t>1%-5%</w:t>
            </w:r>
          </w:p>
        </w:tc>
      </w:tr>
    </w:tbl>
    <w:p w:rsidR="003C1975" w:rsidRPr="003C1975" w:rsidRDefault="003C1975" w:rsidP="003C1975">
      <w:pPr>
        <w:widowControl/>
        <w:shd w:val="clear" w:color="auto" w:fill="FFFFFF"/>
        <w:spacing w:line="307" w:lineRule="atLeast"/>
        <w:ind w:firstLineChars="0" w:firstLine="0"/>
        <w:jc w:val="left"/>
        <w:rPr>
          <w:rFonts w:ascii="Helvetica" w:hAnsi="Helvetica" w:cs="Helvetica"/>
          <w:color w:val="3E3E3E"/>
          <w:kern w:val="0"/>
          <w:sz w:val="19"/>
          <w:szCs w:val="19"/>
        </w:rPr>
      </w:pP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备注：</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1.</w:t>
      </w:r>
      <w:r w:rsidRPr="003C1975">
        <w:rPr>
          <w:rFonts w:ascii="Helvetica" w:hAnsi="Helvetica" w:cs="Helvetica"/>
          <w:color w:val="3E3E3E"/>
          <w:kern w:val="0"/>
          <w:sz w:val="22"/>
          <w:szCs w:val="22"/>
        </w:rPr>
        <w:t>铝土矿包括耐火级矾土、研磨级矾土等高铝粘土。</w:t>
      </w:r>
    </w:p>
    <w:p w:rsidR="003C1975" w:rsidRPr="003C1975" w:rsidRDefault="003C1975" w:rsidP="003C1975">
      <w:pPr>
        <w:widowControl/>
        <w:shd w:val="clear" w:color="auto" w:fill="FFFFFF"/>
        <w:spacing w:line="360" w:lineRule="atLeast"/>
        <w:ind w:firstLineChars="0" w:firstLine="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2.</w:t>
      </w:r>
      <w:r w:rsidRPr="003C1975">
        <w:rPr>
          <w:rFonts w:ascii="Helvetica" w:hAnsi="Helvetica" w:cs="Helvetica"/>
          <w:color w:val="3E3E3E"/>
          <w:kern w:val="0"/>
          <w:sz w:val="22"/>
          <w:szCs w:val="22"/>
        </w:rPr>
        <w:t>氯化钠初级产品是指井矿盐、湖盐原盐、提取地下卤水晒制的盐和海盐原盐，包括固体和液体形态的初级产品。</w:t>
      </w:r>
    </w:p>
    <w:p w:rsidR="003C1975" w:rsidRPr="003C1975" w:rsidRDefault="003C1975" w:rsidP="003C1975">
      <w:pPr>
        <w:widowControl/>
        <w:shd w:val="clear" w:color="auto" w:fill="FFFFFF"/>
        <w:spacing w:line="360" w:lineRule="atLeast"/>
        <w:ind w:firstLineChars="0"/>
        <w:rPr>
          <w:rFonts w:ascii="Helvetica" w:hAnsi="Helvetica" w:cs="Helvetica"/>
          <w:color w:val="3E3E3E"/>
          <w:kern w:val="0"/>
          <w:sz w:val="19"/>
          <w:szCs w:val="19"/>
        </w:rPr>
      </w:pPr>
      <w:r w:rsidRPr="003C1975">
        <w:rPr>
          <w:rFonts w:ascii="Helvetica" w:hAnsi="Helvetica" w:cs="Helvetica"/>
          <w:color w:val="3E3E3E"/>
          <w:kern w:val="0"/>
          <w:sz w:val="22"/>
          <w:szCs w:val="22"/>
        </w:rPr>
        <w:t xml:space="preserve">　</w:t>
      </w:r>
      <w:r w:rsidRPr="003C1975">
        <w:rPr>
          <w:rFonts w:ascii="Helvetica" w:hAnsi="Helvetica" w:cs="Helvetica"/>
          <w:color w:val="3E3E3E"/>
          <w:kern w:val="0"/>
          <w:sz w:val="22"/>
          <w:szCs w:val="22"/>
        </w:rPr>
        <w:t>3.</w:t>
      </w:r>
      <w:r w:rsidRPr="003C1975">
        <w:rPr>
          <w:rFonts w:ascii="Helvetica" w:hAnsi="Helvetica" w:cs="Helvetica"/>
          <w:color w:val="3E3E3E"/>
          <w:kern w:val="0"/>
          <w:sz w:val="22"/>
          <w:szCs w:val="22"/>
        </w:rPr>
        <w:t>海盐是指海水晒制的盐，不包括提取地下卤水晒制的盐。</w:t>
      </w:r>
    </w:p>
    <w:p w:rsidR="0031476B" w:rsidRPr="003C1975" w:rsidRDefault="0031476B" w:rsidP="00CE6BF7">
      <w:pPr>
        <w:ind w:firstLine="420"/>
        <w:rPr>
          <w:rFonts w:hint="eastAsia"/>
        </w:rPr>
      </w:pPr>
    </w:p>
    <w:sectPr w:rsidR="0031476B" w:rsidRPr="003C1975" w:rsidSect="000751F8">
      <w:pgSz w:w="11906" w:h="16838" w:code="9"/>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1975"/>
    <w:rsid w:val="000751F8"/>
    <w:rsid w:val="0031476B"/>
    <w:rsid w:val="003C1975"/>
    <w:rsid w:val="00492E3D"/>
    <w:rsid w:val="00642D12"/>
    <w:rsid w:val="006D266E"/>
    <w:rsid w:val="00737ABB"/>
    <w:rsid w:val="00780320"/>
    <w:rsid w:val="00941717"/>
    <w:rsid w:val="00B13322"/>
    <w:rsid w:val="00B15289"/>
    <w:rsid w:val="00CE6BF7"/>
    <w:rsid w:val="00CF083C"/>
    <w:rsid w:val="00E30985"/>
    <w:rsid w:val="00ED2E20"/>
    <w:rsid w:val="00F22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ind w:firstLineChars="200" w:firstLine="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C94"/>
    <w:pPr>
      <w:widowControl w:val="0"/>
      <w:jc w:val="both"/>
    </w:pPr>
    <w:rPr>
      <w:kern w:val="2"/>
      <w:sz w:val="21"/>
    </w:rPr>
  </w:style>
  <w:style w:type="paragraph" w:styleId="1">
    <w:name w:val="heading 1"/>
    <w:basedOn w:val="a"/>
    <w:next w:val="a"/>
    <w:link w:val="1Char"/>
    <w:qFormat/>
    <w:rsid w:val="00F22C94"/>
    <w:pPr>
      <w:keepNext/>
      <w:keepLines/>
      <w:spacing w:before="340" w:after="330" w:line="576" w:lineRule="auto"/>
      <w:outlineLvl w:val="0"/>
    </w:pPr>
    <w:rPr>
      <w:b/>
      <w:kern w:val="44"/>
      <w:sz w:val="44"/>
    </w:rPr>
  </w:style>
  <w:style w:type="paragraph" w:styleId="2">
    <w:name w:val="heading 2"/>
    <w:basedOn w:val="a"/>
    <w:next w:val="a"/>
    <w:link w:val="2Char"/>
    <w:uiPriority w:val="9"/>
    <w:qFormat/>
    <w:rsid w:val="00F22C94"/>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F22C94"/>
    <w:pPr>
      <w:keepNext/>
      <w:keepLines/>
      <w:spacing w:before="260" w:after="260" w:line="413" w:lineRule="auto"/>
      <w:outlineLvl w:val="2"/>
    </w:pPr>
    <w:rPr>
      <w:b/>
      <w:sz w:val="32"/>
    </w:rPr>
  </w:style>
  <w:style w:type="paragraph" w:styleId="4">
    <w:name w:val="heading 4"/>
    <w:basedOn w:val="a"/>
    <w:next w:val="a"/>
    <w:link w:val="4Char"/>
    <w:semiHidden/>
    <w:unhideWhenUsed/>
    <w:qFormat/>
    <w:rsid w:val="00B1332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B13322"/>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B13322"/>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B13322"/>
    <w:pPr>
      <w:keepNext/>
      <w:keepLines/>
      <w:spacing w:before="240" w:after="64" w:line="320" w:lineRule="auto"/>
      <w:outlineLvl w:val="6"/>
    </w:pPr>
    <w:rPr>
      <w:b/>
      <w:bCs/>
      <w:sz w:val="24"/>
      <w:szCs w:val="24"/>
    </w:rPr>
  </w:style>
  <w:style w:type="paragraph" w:styleId="8">
    <w:name w:val="heading 8"/>
    <w:basedOn w:val="a"/>
    <w:next w:val="a"/>
    <w:link w:val="8Char"/>
    <w:semiHidden/>
    <w:unhideWhenUsed/>
    <w:qFormat/>
    <w:rsid w:val="00B13322"/>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semiHidden/>
    <w:unhideWhenUsed/>
    <w:qFormat/>
    <w:rsid w:val="00B13322"/>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13322"/>
    <w:rPr>
      <w:b/>
      <w:kern w:val="44"/>
      <w:sz w:val="44"/>
    </w:rPr>
  </w:style>
  <w:style w:type="character" w:customStyle="1" w:styleId="2Char">
    <w:name w:val="标题 2 Char"/>
    <w:basedOn w:val="a0"/>
    <w:link w:val="2"/>
    <w:uiPriority w:val="9"/>
    <w:rsid w:val="00F22C94"/>
    <w:rPr>
      <w:rFonts w:ascii="Arial" w:eastAsia="黑体" w:hAnsi="Arial"/>
      <w:b/>
      <w:kern w:val="2"/>
      <w:sz w:val="32"/>
      <w:lang w:val="en-US" w:eastAsia="zh-CN" w:bidi="ar-SA"/>
    </w:rPr>
  </w:style>
  <w:style w:type="character" w:customStyle="1" w:styleId="3Char">
    <w:name w:val="标题 3 Char"/>
    <w:basedOn w:val="a0"/>
    <w:link w:val="3"/>
    <w:rsid w:val="00B13322"/>
    <w:rPr>
      <w:b/>
      <w:kern w:val="2"/>
      <w:sz w:val="32"/>
    </w:rPr>
  </w:style>
  <w:style w:type="character" w:styleId="a3">
    <w:name w:val="Strong"/>
    <w:basedOn w:val="a0"/>
    <w:uiPriority w:val="22"/>
    <w:qFormat/>
    <w:rsid w:val="00F22C94"/>
    <w:rPr>
      <w:b/>
    </w:rPr>
  </w:style>
  <w:style w:type="character" w:customStyle="1" w:styleId="4Char">
    <w:name w:val="标题 4 Char"/>
    <w:basedOn w:val="a0"/>
    <w:link w:val="4"/>
    <w:semiHidden/>
    <w:rsid w:val="00B13322"/>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B13322"/>
    <w:rPr>
      <w:b/>
      <w:bCs/>
      <w:kern w:val="2"/>
      <w:sz w:val="28"/>
      <w:szCs w:val="28"/>
    </w:rPr>
  </w:style>
  <w:style w:type="character" w:customStyle="1" w:styleId="6Char">
    <w:name w:val="标题 6 Char"/>
    <w:basedOn w:val="a0"/>
    <w:link w:val="6"/>
    <w:semiHidden/>
    <w:rsid w:val="00B13322"/>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B13322"/>
    <w:rPr>
      <w:b/>
      <w:bCs/>
      <w:kern w:val="2"/>
      <w:sz w:val="24"/>
      <w:szCs w:val="24"/>
    </w:rPr>
  </w:style>
  <w:style w:type="character" w:customStyle="1" w:styleId="8Char">
    <w:name w:val="标题 8 Char"/>
    <w:basedOn w:val="a0"/>
    <w:link w:val="8"/>
    <w:semiHidden/>
    <w:rsid w:val="00B13322"/>
    <w:rPr>
      <w:rFonts w:asciiTheme="majorHAnsi" w:eastAsiaTheme="majorEastAsia" w:hAnsiTheme="majorHAnsi" w:cstheme="majorBidi"/>
      <w:kern w:val="2"/>
      <w:sz w:val="24"/>
      <w:szCs w:val="24"/>
    </w:rPr>
  </w:style>
  <w:style w:type="character" w:customStyle="1" w:styleId="9Char">
    <w:name w:val="标题 9 Char"/>
    <w:basedOn w:val="a0"/>
    <w:link w:val="9"/>
    <w:semiHidden/>
    <w:rsid w:val="00B13322"/>
    <w:rPr>
      <w:rFonts w:asciiTheme="majorHAnsi" w:eastAsiaTheme="majorEastAsia" w:hAnsiTheme="majorHAnsi" w:cstheme="majorBidi"/>
      <w:kern w:val="2"/>
      <w:sz w:val="21"/>
      <w:szCs w:val="21"/>
    </w:rPr>
  </w:style>
  <w:style w:type="paragraph" w:styleId="a4">
    <w:name w:val="Title"/>
    <w:basedOn w:val="a"/>
    <w:next w:val="a"/>
    <w:link w:val="Char"/>
    <w:qFormat/>
    <w:rsid w:val="00B13322"/>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rsid w:val="00B13322"/>
    <w:rPr>
      <w:rFonts w:asciiTheme="majorHAnsi" w:hAnsiTheme="majorHAnsi" w:cstheme="majorBidi"/>
      <w:b/>
      <w:bCs/>
      <w:kern w:val="2"/>
      <w:sz w:val="32"/>
      <w:szCs w:val="32"/>
    </w:rPr>
  </w:style>
  <w:style w:type="paragraph" w:styleId="a5">
    <w:name w:val="Subtitle"/>
    <w:basedOn w:val="a"/>
    <w:next w:val="a"/>
    <w:link w:val="Char0"/>
    <w:qFormat/>
    <w:rsid w:val="00B13322"/>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5"/>
    <w:rsid w:val="00B13322"/>
    <w:rPr>
      <w:rFonts w:asciiTheme="majorHAnsi" w:hAnsiTheme="majorHAnsi" w:cstheme="majorBidi"/>
      <w:b/>
      <w:bCs/>
      <w:kern w:val="28"/>
      <w:sz w:val="32"/>
      <w:szCs w:val="32"/>
    </w:rPr>
  </w:style>
  <w:style w:type="character" w:styleId="a6">
    <w:name w:val="Emphasis"/>
    <w:qFormat/>
    <w:rsid w:val="00B13322"/>
    <w:rPr>
      <w:i/>
      <w:iCs/>
    </w:rPr>
  </w:style>
  <w:style w:type="paragraph" w:styleId="a7">
    <w:name w:val="No Spacing"/>
    <w:basedOn w:val="a"/>
    <w:link w:val="Char1"/>
    <w:uiPriority w:val="1"/>
    <w:qFormat/>
    <w:rsid w:val="00B13322"/>
  </w:style>
  <w:style w:type="character" w:customStyle="1" w:styleId="Char1">
    <w:name w:val="无间隔 Char"/>
    <w:basedOn w:val="a0"/>
    <w:link w:val="a7"/>
    <w:uiPriority w:val="1"/>
    <w:rsid w:val="00B13322"/>
    <w:rPr>
      <w:kern w:val="2"/>
      <w:sz w:val="21"/>
    </w:rPr>
  </w:style>
  <w:style w:type="paragraph" w:styleId="a8">
    <w:name w:val="List Paragraph"/>
    <w:basedOn w:val="a"/>
    <w:uiPriority w:val="34"/>
    <w:qFormat/>
    <w:rsid w:val="00B13322"/>
    <w:pPr>
      <w:ind w:firstLine="420"/>
    </w:pPr>
  </w:style>
  <w:style w:type="paragraph" w:styleId="a9">
    <w:name w:val="Quote"/>
    <w:basedOn w:val="a"/>
    <w:next w:val="a"/>
    <w:link w:val="Char2"/>
    <w:uiPriority w:val="29"/>
    <w:qFormat/>
    <w:rsid w:val="00B13322"/>
    <w:rPr>
      <w:i/>
      <w:iCs/>
      <w:color w:val="000000" w:themeColor="text1"/>
    </w:rPr>
  </w:style>
  <w:style w:type="character" w:customStyle="1" w:styleId="Char2">
    <w:name w:val="引用 Char"/>
    <w:basedOn w:val="a0"/>
    <w:link w:val="a9"/>
    <w:uiPriority w:val="29"/>
    <w:rsid w:val="00B13322"/>
    <w:rPr>
      <w:i/>
      <w:iCs/>
      <w:color w:val="000000" w:themeColor="text1"/>
      <w:kern w:val="2"/>
      <w:sz w:val="21"/>
    </w:rPr>
  </w:style>
  <w:style w:type="paragraph" w:styleId="aa">
    <w:name w:val="Intense Quote"/>
    <w:basedOn w:val="a"/>
    <w:next w:val="a"/>
    <w:link w:val="Char3"/>
    <w:uiPriority w:val="30"/>
    <w:qFormat/>
    <w:rsid w:val="00B13322"/>
    <w:pPr>
      <w:pBdr>
        <w:bottom w:val="single" w:sz="4" w:space="4" w:color="4F81BD" w:themeColor="accent1"/>
      </w:pBdr>
      <w:spacing w:before="200" w:after="280"/>
      <w:ind w:left="936" w:right="936"/>
    </w:pPr>
    <w:rPr>
      <w:b/>
      <w:bCs/>
      <w:i/>
      <w:iCs/>
      <w:color w:val="4F81BD" w:themeColor="accent1"/>
    </w:rPr>
  </w:style>
  <w:style w:type="character" w:customStyle="1" w:styleId="Char3">
    <w:name w:val="明显引用 Char"/>
    <w:basedOn w:val="a0"/>
    <w:link w:val="aa"/>
    <w:uiPriority w:val="30"/>
    <w:rsid w:val="00B13322"/>
    <w:rPr>
      <w:b/>
      <w:bCs/>
      <w:i/>
      <w:iCs/>
      <w:color w:val="4F81BD" w:themeColor="accent1"/>
      <w:kern w:val="2"/>
      <w:sz w:val="21"/>
    </w:rPr>
  </w:style>
  <w:style w:type="character" w:styleId="ab">
    <w:name w:val="Subtle Emphasis"/>
    <w:uiPriority w:val="19"/>
    <w:qFormat/>
    <w:rsid w:val="00B13322"/>
    <w:rPr>
      <w:i/>
      <w:iCs/>
      <w:color w:val="808080" w:themeColor="text1" w:themeTint="7F"/>
    </w:rPr>
  </w:style>
  <w:style w:type="character" w:styleId="ac">
    <w:name w:val="Intense Emphasis"/>
    <w:uiPriority w:val="21"/>
    <w:qFormat/>
    <w:rsid w:val="00B13322"/>
    <w:rPr>
      <w:b/>
      <w:bCs/>
      <w:i/>
      <w:iCs/>
      <w:color w:val="4F81BD" w:themeColor="accent1"/>
    </w:rPr>
  </w:style>
  <w:style w:type="character" w:styleId="ad">
    <w:name w:val="Subtle Reference"/>
    <w:basedOn w:val="a0"/>
    <w:uiPriority w:val="31"/>
    <w:qFormat/>
    <w:rsid w:val="00B13322"/>
    <w:rPr>
      <w:smallCaps/>
      <w:color w:val="C0504D" w:themeColor="accent2"/>
      <w:u w:val="single"/>
    </w:rPr>
  </w:style>
  <w:style w:type="character" w:styleId="ae">
    <w:name w:val="Intense Reference"/>
    <w:uiPriority w:val="32"/>
    <w:qFormat/>
    <w:rsid w:val="00B13322"/>
    <w:rPr>
      <w:b/>
      <w:bCs/>
      <w:smallCaps/>
      <w:color w:val="C0504D" w:themeColor="accent2"/>
      <w:spacing w:val="5"/>
      <w:u w:val="single"/>
    </w:rPr>
  </w:style>
  <w:style w:type="character" w:styleId="af">
    <w:name w:val="Book Title"/>
    <w:basedOn w:val="a0"/>
    <w:uiPriority w:val="33"/>
    <w:qFormat/>
    <w:rsid w:val="00B13322"/>
    <w:rPr>
      <w:b/>
      <w:bCs/>
      <w:smallCaps/>
      <w:spacing w:val="5"/>
    </w:rPr>
  </w:style>
  <w:style w:type="paragraph" w:styleId="TOC">
    <w:name w:val="TOC Heading"/>
    <w:basedOn w:val="1"/>
    <w:next w:val="a"/>
    <w:uiPriority w:val="39"/>
    <w:semiHidden/>
    <w:unhideWhenUsed/>
    <w:qFormat/>
    <w:rsid w:val="00B13322"/>
    <w:pPr>
      <w:spacing w:line="578" w:lineRule="auto"/>
      <w:outlineLvl w:val="9"/>
    </w:pPr>
    <w:rPr>
      <w:bCs/>
      <w:szCs w:val="44"/>
    </w:rPr>
  </w:style>
  <w:style w:type="paragraph" w:styleId="af0">
    <w:name w:val="Normal (Web)"/>
    <w:basedOn w:val="a"/>
    <w:uiPriority w:val="99"/>
    <w:unhideWhenUsed/>
    <w:rsid w:val="003C1975"/>
    <w:pPr>
      <w:widowControl/>
      <w:spacing w:before="100" w:beforeAutospacing="1" w:after="100" w:afterAutospacing="1"/>
      <w:ind w:firstLineChars="0" w:firstLine="0"/>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7234286">
      <w:bodyDiv w:val="1"/>
      <w:marLeft w:val="0"/>
      <w:marRight w:val="0"/>
      <w:marTop w:val="0"/>
      <w:marBottom w:val="0"/>
      <w:divBdr>
        <w:top w:val="none" w:sz="0" w:space="0" w:color="auto"/>
        <w:left w:val="none" w:sz="0" w:space="0" w:color="auto"/>
        <w:bottom w:val="none" w:sz="0" w:space="0" w:color="auto"/>
        <w:right w:val="none" w:sz="0" w:space="0" w:color="auto"/>
      </w:divBdr>
    </w:div>
    <w:div w:id="16098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625</Words>
  <Characters>3564</Characters>
  <Application>Microsoft Office Word</Application>
  <DocSecurity>0</DocSecurity>
  <Lines>29</Lines>
  <Paragraphs>8</Paragraphs>
  <ScaleCrop>false</ScaleCrop>
  <Company>Lenovo (Beijing) Limited</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2016-05-11T00:57:00Z</dcterms:created>
  <dcterms:modified xsi:type="dcterms:W3CDTF">2016-05-11T01:03:00Z</dcterms:modified>
</cp:coreProperties>
</file>