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2A" w:rsidRPr="00233C2A" w:rsidRDefault="00233C2A" w:rsidP="00233C2A">
      <w:pPr>
        <w:widowControl/>
        <w:pBdr>
          <w:bottom w:val="single" w:sz="6" w:space="8" w:color="E7E7EB"/>
        </w:pBdr>
        <w:adjustRightInd w:val="0"/>
        <w:snapToGrid w:val="0"/>
        <w:spacing w:afterLines="50" w:after="156" w:line="360" w:lineRule="auto"/>
        <w:jc w:val="center"/>
        <w:outlineLvl w:val="1"/>
        <w:rPr>
          <w:rFonts w:ascii="宋体" w:eastAsia="宋体" w:hAnsi="宋体" w:cs="Helvetica"/>
          <w:b/>
          <w:color w:val="000000"/>
          <w:kern w:val="0"/>
          <w:sz w:val="28"/>
          <w:szCs w:val="28"/>
        </w:rPr>
      </w:pPr>
      <w:r w:rsidRPr="00233C2A">
        <w:rPr>
          <w:rFonts w:ascii="宋体" w:eastAsia="宋体" w:hAnsi="宋体" w:cs="Helvetica"/>
          <w:b/>
          <w:color w:val="000000"/>
          <w:kern w:val="0"/>
          <w:sz w:val="28"/>
          <w:szCs w:val="28"/>
        </w:rPr>
        <w:t>中共中央　国务院关于完善产权保护制度依法保护产权的意见</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jc w:val="center"/>
        <w:rPr>
          <w:rFonts w:cs="Helvetica"/>
          <w:color w:val="3E3E3E"/>
          <w:sz w:val="21"/>
          <w:szCs w:val="21"/>
        </w:rPr>
      </w:pPr>
      <w:r w:rsidRPr="00233C2A">
        <w:rPr>
          <w:rFonts w:cs="Helvetica" w:hint="eastAsia"/>
          <w:color w:val="3E3E3E"/>
          <w:sz w:val="21"/>
          <w:szCs w:val="21"/>
        </w:rPr>
        <w:t>（来源：中国政府网）</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bookmarkStart w:id="0" w:name="_GoBack"/>
      <w:bookmarkEnd w:id="0"/>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产权制度是社会主义市场经济的基石，保护产权是坚持社会主义基本经济制度的必然要求。有恒产者有恒心，经济主体财产权的有效保障和实现是经济社会持续健康发展的基础。改革开放以来，通过大力推进产权制度改革，我国基本形成了归属清晰、权责明确、保护严格、流转顺畅的现代产权制度和产权保护法律框架，全社会产权保护意识不断增强，保护力度不断加大。同时也要看到，我国产权保护仍然存在一些薄弱环节和问题：国有产权由于所有者和代理人关系不够清晰，存在内部人控制、关联交易等导致国有资产流失的问题；利用公权力侵害私有产权、违法查封扣押冻结民营企业财产等现象时有发生；知识产权保护不力，侵权易发多发。解决这些问题，必须加快完善产权保护制度，依法有效保护各种所有制经济组织和公民财产权，增强人民群众财产财富安全感，增强社会信心，形成良好预期，增强各类经济主体创业创新动力，维护社会公平正义，保持经济社会持续健康发展和国家长治久安。现就完善产权保护制度、依法保护产权提出以下意见。</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一、总体要求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加强产权保护，根本之策是全面推进依法治国。要全面贯彻党的十八大和十八届三中、四中、五中、六中全会精神，深入学习贯彻习近平总书记系列重要讲话精神，按照党中央、国务院决策部署，紧紧围绕统筹推进“五位一体”总体布局和协调推进“四个全面”战略布局，牢固树立和贯彻落实新发展理念，着力推进供给侧结构性改革，进一步完善现代产权制度，推进产权保护法治化，在事关产权保护的立法、执法、司法、守法等各方面各环节体现法治理念。要坚持以下原则：</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——坚持平等保护。健全以公平为核心原则的产权保护制度，毫不动摇巩固和发展公有制经济，毫不动摇鼓励、支持、引导非公有制经济发展，公有制经济财产权不可侵犯，非公有制经济财产权同样不可侵犯。</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——坚持全面保护。保护产权不仅包括保护物权、债权、股权，也包括保护知识产权及其他各种无形财产权。</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——坚持依法保护。不断完善社会主义市场经济法律制度，强化法律实施，确保有法可依、有法必依。</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——坚持共同参与。做到政府诚信和公众参与相结合，建设法治政府、责任政府、诚信政府，增强公民产权保护观念和契约意识，强化社会监督。</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lastRenderedPageBreak/>
        <w:t xml:space="preserve">　　——坚持标本兼治。着眼长远，着力当下，抓紧解决产权保护方面存在的突出问题，提高产权保护精准度，加快建立产权保护长效机制，激发各类经济主体的活力和创造力。</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二、加强各种所有制经济产权保护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深化国有企业和国有资产监督管理体制改革，进一步明晰国有产权所有者和代理人关系，推动实现国有企业股权多元化和公司治理现代化，健全涉及财务、采购、营销、投资等方面的内部监督制度和内控机制，强化董事会规范运作和对经理层的监督，完善国有资产交易方式，严格规范国有资产登记、转让、清算、退出等程序和交易行为，以制度化保障促进国有产权保护，防止内部人任意支配国有资产，切实防止国有资产流失。建立健全归属清晰、权责明确、监管有效的自然资源资产产权制度，完善自然资源有偿使用制度，逐步实现各类市场主体按照市场规则和市场价格依法平等使用土地等自然资源。完善农村集体产权确权和保护制度，分类建立健全集体资产清产核资、登记、保管、使用、处置制度和财务管理监督制度，规范农村产权流转交易，切实防止集体经济组织内部少数人侵占、非法处置集体资产，防止外部资本侵吞、非法控制集体资产。坚持权利平等、机会平等、规则平等，废除对非公有制经济各种形式的不合理规定，消除各种隐性壁垒，保证各种所有制经济依法平等使用生产要素、公开公平公正参与市场竞争、同等受到法律保护、共同履行社会责任。</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三、完善平等保护产权的法律制度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加快推进民法典编纂工作，完善物权、合同、知识产权相关法律制度，清理有违公平的法律法规条款，将平等保护作为规范财产关系的基本原则。健全以企业组织形式和出资人承担责任方式为主的市场主体法律制度，统筹研究清理、废止按照所有制不同类型制定的市场主体法律和行政法规，开展部门规章和规范性文件专项清理，平等保护各类市场主体。加大对非公有财产的刑法保护力度。</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四、妥善处理历史形成的产权案件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坚持有错必纠，抓紧甄别纠正一批社会反映强烈的产权纠纷申诉案件，剖析一批侵害产权的案例。对涉及重大财产处置的产权纠纷申诉案件、民营企业和投资人违法申诉案件依法甄别，确属事实不清、证据不足、适用法律错误的错案冤案，要依法予以纠正并赔偿当事人的损失。完善办案质量终身负责制和错案责任倒查问责制，从源头上有效预防错案冤案的发生。严格遵循法不溯及既往、罪刑法定、在新旧法之间从旧兼从轻等原则，以发展眼光客观看待和依法妥善处理改革开放以来各类企业特别是民营企业经营过程中存在的不规范问题。</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lastRenderedPageBreak/>
        <w:t xml:space="preserve">　　</w:t>
      </w:r>
      <w:r w:rsidRPr="00233C2A">
        <w:rPr>
          <w:rStyle w:val="a4"/>
          <w:rFonts w:cs="Helvetica"/>
          <w:color w:val="FFFFFF"/>
          <w:sz w:val="21"/>
          <w:szCs w:val="21"/>
          <w:shd w:val="clear" w:color="auto" w:fill="AB1942"/>
        </w:rPr>
        <w:t>五、严格规范涉案财产处置的法律程序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进一步细化涉嫌违法的企业和人员财产处置规则，依法慎重决定是否采取相关强制措施。确需采取查封、扣押、冻结等措施的，要严格按照法定程序进行，除依法需责令关闭企业的情形外，在条件允许情况下可以为企业预留必要的流动资金和往来账户，最大限度降低对企业正常生产经营活动的不利影响。采取查封、扣押、冻结措施和处置涉案财物时，要依法严格区分个人财产和企业法人财产。对股东、企业经营管理者等自然人违法，在处置其个人财产时不任意牵连企业法人财产；对企业违法，在处置企业法人财产时不任意牵连股东、企业经营管理者个人合法财产。严格区分违法所得和合法财产，区分涉案人员个人财产和家庭成员财产，在处置违法所得时不牵连合法财产。完善涉案财物保管、鉴定、估价、拍卖、变卖制度，做到公开公正和规范高效，充分尊重和依法保护当事人及其近亲属、股东、债权人等相关方的合法权益。</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六、审慎把握处理产权和经济纠纷的司法政策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充分考虑非公有制经济特点，严格区分经济纠纷与经济犯罪的界限、企业正当融资与非法集资的界限、民营企业参与国有企业兼并重组中涉及的经济纠纷与恶意侵占国有资产的界限，准确把握经济违法行为入刑标准，准确认定经济纠纷和经济犯罪的性质，防范刑事执法介入经济纠纷，防止选择性司法。对于法律界限不明、罪与非罪不清的，司法机关应严格遵循罪刑法定、疑罪从无、严禁有罪推定的原则，防止把经济纠纷当作犯罪处理。严禁党政干部干预司法活动、介入司法纠纷、插手具体案件处理。对民营企业在生产、经营、融资活动中的经济行为，除法律、行政法规明确禁止外，不以违法犯罪对待。对涉及犯罪的民营企业投资人，在当事人服刑期间依法保障其行使财产权利等民事权利。</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七、完善政府守信践诺机制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大力推进法治政府和政务诚信建设，地方各级政府及有关部门要严格兑现向社会及行政相对人依法作出的政策承诺，认真履行在招商引资、政府与社会资本合作等活动中与投资主体依法签订的各类合同，不得以政府换届、领导人员更替等理由违约毁约，因违约毁约侵犯合法权益的，要承担法律和经济责任。因国家利益、公共利益或者其他法定事由需要改变政府承诺和合同约定的，要严格依照法定权限和程序进行，并对企业和投资人因此而受到的财产损失依法予以补偿。对因政府违约等导致企业和公民财产权受到损害等情形，进一步完善赔偿、投诉和救济机制，畅通投诉和救济渠道。将政务履约和守诺服务纳入政府绩效评价体系，建立政务失信记录，建立健全政府失信责任追究制度及责任倒查机制，加大对政务失信行为惩戒力度。</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八、完善财产征收征用制度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lastRenderedPageBreak/>
        <w:t xml:space="preserve">　　完善土地、房屋等财产征收征用法律制度，合理界定征收征用适用的公共利益范围，不将公共利益扩大化，细化规范征收征用法定权限和程序。遵循及时合理补偿原则，完善国家补偿制度，进一步明确补偿的范围、形式和标准，给予被征收征用者公平合理补偿。</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九、加大知识产权保护力度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加大知识产权侵权行为惩治力度，提高知识产权侵权法定赔偿上限，探索建立对专利权、著作权等知识产权侵权惩罚性赔偿制度，对情节严重的恶意侵权行为实施惩罚性赔偿，并由侵权人承担权利人为制止侵权行为所支付的合理开支，提高知识产权侵权成本。建立收集假冒产品来源地信息工作机制，将故意侵犯知识产权行为情况纳入企业和个人信用记录，进一步推进侵犯知识产权行政处罚案件信息公开。完善知识产权审判工作机制，积极发挥知识产权法院作用，推进知识产权民事、刑事、行政案件审判“三审合一”，加强知识产权行政执法与刑事司法的衔接，加大知识产权司法保护力度。完善涉外知识产权执法机制，加强刑事执法国际合作，加大涉外知识产权犯罪案件侦办力度。严厉打击不正当竞争行为，加强品牌商誉保护。将知识产权保护和运用相结合，加强机制和平台建设，加快知识产权转移转化。</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十、健全增加城乡居民财产性收入的各项制度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研究住宅建设用地等土地使用权到期后续期的法律安排，推动形成全社会对公民财产长久受保护的良好和稳定预期。在国有企业混合所有制改革中，依照相关规定支持有条件的混合所有制企业实行员工持股，坚持同股同权、同股同利，着力避免大股东凭借优势地位侵害中小股东权益的行为，建立员工利益和企业利益、国家利益激励相容机制。深化金融改革，推动金融创新，鼓励创造更多支持实体经济发展、使民众分享增值收益的金融产品，增加民众投资渠道。深化农村土地制度改革，坚持土地公有制性质不改变、耕地红线不突破、粮食生产能力不减弱、农民利益不受损的底线，从实际出发，因地制宜，落实承包地、宅基地、集体经营性建设用地的用益物权，赋予农民更多财产权利，增加农民财产收益。</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w:t>
      </w:r>
      <w:r w:rsidRPr="00233C2A">
        <w:rPr>
          <w:rStyle w:val="a4"/>
          <w:rFonts w:cs="Helvetica"/>
          <w:color w:val="FFFFFF"/>
          <w:sz w:val="21"/>
          <w:szCs w:val="21"/>
          <w:shd w:val="clear" w:color="auto" w:fill="AB1942"/>
        </w:rPr>
        <w:t>十一、营造全社会重视和支持产权保护的良好环境 </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大力宣传党和国家平等保护各种所有制经济产权的方针政策和法律法规，使平等保护、全面保护、依法保护观念深入人心，营造公平、公正、透明、稳定的法治环境。在坚持以经济建设为中心、提倡勤劳致富、保护产权、弘扬企业家精神等方面加强舆论引导，总结宣传一批依法有效保护产权的好做法、好经验、好案例，推动形成保护产权的良好社会氛围。完善法律援助制度，健全司法救助体系，确保人民群众在产权受到侵害时获得及时有效的法律帮助。有效发挥工商业联合会、行业协会商会在保护非公有制经济和民</w:t>
      </w:r>
      <w:r w:rsidRPr="00233C2A">
        <w:rPr>
          <w:rFonts w:cs="Helvetica"/>
          <w:color w:val="3E3E3E"/>
          <w:sz w:val="21"/>
          <w:szCs w:val="21"/>
        </w:rPr>
        <w:lastRenderedPageBreak/>
        <w:t>营企业产权、维护企业合法权益方面的作用，建立对涉及产权纠纷的中小企业维权援助机制。更好发挥调解、仲裁的积极作用，完善产权纠纷多元化解机制。</w:t>
      </w:r>
    </w:p>
    <w:p w:rsidR="00233C2A" w:rsidRPr="00233C2A" w:rsidRDefault="00233C2A" w:rsidP="00233C2A">
      <w:pPr>
        <w:pStyle w:val="a3"/>
        <w:shd w:val="clear" w:color="auto" w:fill="FFFFFF"/>
        <w:adjustRightInd w:val="0"/>
        <w:snapToGrid w:val="0"/>
        <w:spacing w:before="0" w:beforeAutospacing="0" w:afterLines="50" w:after="156" w:afterAutospacing="0" w:line="360" w:lineRule="auto"/>
        <w:ind w:firstLineChars="200" w:firstLine="420"/>
        <w:rPr>
          <w:rFonts w:cs="Helvetica"/>
          <w:color w:val="3E3E3E"/>
          <w:sz w:val="21"/>
          <w:szCs w:val="21"/>
        </w:rPr>
      </w:pPr>
      <w:r w:rsidRPr="00233C2A">
        <w:rPr>
          <w:rFonts w:cs="Helvetica"/>
          <w:color w:val="3E3E3E"/>
          <w:sz w:val="21"/>
          <w:szCs w:val="21"/>
        </w:rPr>
        <w:t xml:space="preserve">　　各地区各部门要充分认识完善产权保护制度、依法保护产权的重要性和紧迫性，统一思想，形成共识和合力，狠抓工作落实。各地区要建立党委牵头，人大、政府、司法机关共同参加的产权保护协调工作机制，加强对产权保护工作的组织领导和统筹协调。各有关部门和单位要按照本意见要求，抓紧制定具体实施方案，启动基础性、标志性、关键性工作，加强协调配合，确保各项举措落到实处、见到实效。</w:t>
      </w:r>
    </w:p>
    <w:p w:rsidR="0085229E" w:rsidRPr="00233C2A" w:rsidRDefault="0085229E" w:rsidP="00233C2A">
      <w:pPr>
        <w:adjustRightInd w:val="0"/>
        <w:snapToGrid w:val="0"/>
        <w:spacing w:afterLines="50" w:after="156" w:line="360" w:lineRule="auto"/>
        <w:ind w:firstLineChars="200" w:firstLine="420"/>
        <w:rPr>
          <w:rFonts w:ascii="宋体" w:eastAsia="宋体" w:hAnsi="宋体"/>
          <w:szCs w:val="21"/>
        </w:rPr>
      </w:pPr>
    </w:p>
    <w:sectPr w:rsidR="0085229E" w:rsidRPr="00233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2A"/>
    <w:rsid w:val="00233C2A"/>
    <w:rsid w:val="00552BB1"/>
    <w:rsid w:val="0085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2C68"/>
  <w15:chartTrackingRefBased/>
  <w15:docId w15:val="{A4EB371C-11F9-4327-9FAB-2CE7EFA8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3C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1642">
      <w:bodyDiv w:val="1"/>
      <w:marLeft w:val="0"/>
      <w:marRight w:val="0"/>
      <w:marTop w:val="0"/>
      <w:marBottom w:val="0"/>
      <w:divBdr>
        <w:top w:val="none" w:sz="0" w:space="0" w:color="auto"/>
        <w:left w:val="none" w:sz="0" w:space="0" w:color="auto"/>
        <w:bottom w:val="none" w:sz="0" w:space="0" w:color="auto"/>
        <w:right w:val="none" w:sz="0" w:space="0" w:color="auto"/>
      </w:divBdr>
    </w:div>
    <w:div w:id="13054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 Xiong</dc:creator>
  <cp:keywords/>
  <dc:description/>
  <cp:lastModifiedBy>ZL Xiong</cp:lastModifiedBy>
  <cp:revision>1</cp:revision>
  <dcterms:created xsi:type="dcterms:W3CDTF">2016-11-28T13:08:00Z</dcterms:created>
  <dcterms:modified xsi:type="dcterms:W3CDTF">2016-11-28T13:11:00Z</dcterms:modified>
</cp:coreProperties>
</file>