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BED" w:rsidRPr="00AF1BED" w:rsidRDefault="00AF1BED" w:rsidP="00AF1BED">
      <w:pPr>
        <w:widowControl/>
        <w:pBdr>
          <w:bottom w:val="single" w:sz="6" w:space="8" w:color="E7E7EB"/>
        </w:pBdr>
        <w:spacing w:after="210"/>
        <w:jc w:val="left"/>
        <w:outlineLvl w:val="1"/>
        <w:rPr>
          <w:rFonts w:ascii="Helvetica" w:eastAsia="宋体" w:hAnsi="Helvetica" w:cs="宋体"/>
          <w:color w:val="000000"/>
          <w:kern w:val="0"/>
          <w:sz w:val="36"/>
          <w:szCs w:val="36"/>
        </w:rPr>
      </w:pPr>
      <w:r w:rsidRPr="00AF1BED">
        <w:rPr>
          <w:rFonts w:ascii="Helvetica" w:eastAsia="宋体" w:hAnsi="Helvetica" w:cs="宋体"/>
          <w:color w:val="000000"/>
          <w:kern w:val="0"/>
          <w:sz w:val="36"/>
          <w:szCs w:val="36"/>
        </w:rPr>
        <w:t>国家发布意见提出：支持钢铁煤炭企业合理资金需求</w:t>
      </w:r>
    </w:p>
    <w:p w:rsidR="00AF1BED" w:rsidRDefault="00AF1BED" w:rsidP="00256F4A">
      <w:pPr>
        <w:pStyle w:val="a3"/>
        <w:shd w:val="clear" w:color="auto" w:fill="FFFFFF"/>
        <w:spacing w:before="0" w:beforeAutospacing="0" w:after="0" w:afterAutospacing="0" w:line="360" w:lineRule="auto"/>
        <w:ind w:firstLineChars="200" w:firstLine="480"/>
        <w:rPr>
          <w:rFonts w:ascii="Arial" w:hAnsi="Arial" w:cs="Arial"/>
          <w:color w:val="3E3E3E"/>
          <w:sz w:val="21"/>
          <w:szCs w:val="21"/>
        </w:rPr>
      </w:pPr>
      <w:r>
        <w:rPr>
          <w:rFonts w:ascii="Arial" w:hAnsi="Arial" w:cs="Arial"/>
          <w:color w:val="3E3E3E"/>
        </w:rPr>
        <w:t>为妥善处置化解过剩产能过程中的有关金融债权债务，中国银监会、国家发改委和工信部近日联合发布《关于钢铁煤炭行业化解过剩产能金融债权债务问题的若干意见》提出，支持钢铁煤炭企业合理资金需求、加大对兼并重组钢铁煤炭企业的金融支持力度、鼓励银行业金融机构对主动去产能的钢铁煤炭困难企业进行贷款重组等</w:t>
      </w:r>
      <w:r>
        <w:rPr>
          <w:rFonts w:ascii="Arial" w:hAnsi="Arial" w:cs="Arial"/>
          <w:color w:val="3E3E3E"/>
        </w:rPr>
        <w:t>13</w:t>
      </w:r>
      <w:r>
        <w:rPr>
          <w:rFonts w:ascii="Arial" w:hAnsi="Arial" w:cs="Arial"/>
          <w:color w:val="3E3E3E"/>
        </w:rPr>
        <w:t>项具体措施。</w:t>
      </w:r>
    </w:p>
    <w:p w:rsidR="00AF1BED" w:rsidRDefault="00AF1BED" w:rsidP="00256F4A">
      <w:pPr>
        <w:pStyle w:val="a3"/>
        <w:shd w:val="clear" w:color="auto" w:fill="FFFFFF"/>
        <w:spacing w:before="0" w:beforeAutospacing="0" w:after="0" w:afterAutospacing="0" w:line="360" w:lineRule="auto"/>
        <w:rPr>
          <w:rFonts w:ascii="Arial" w:hAnsi="Arial" w:cs="Arial"/>
          <w:color w:val="3E3E3E"/>
          <w:sz w:val="21"/>
          <w:szCs w:val="21"/>
        </w:rPr>
      </w:pPr>
      <w:r>
        <w:rPr>
          <w:rFonts w:ascii="Arial" w:hAnsi="Arial" w:cs="Arial"/>
          <w:color w:val="3E3E3E"/>
        </w:rPr>
        <w:t>        </w:t>
      </w:r>
      <w:r>
        <w:rPr>
          <w:rFonts w:ascii="Arial" w:hAnsi="Arial" w:cs="Arial"/>
          <w:color w:val="3E3E3E"/>
        </w:rPr>
        <w:t>意见提出，对技术设备先进、产品有竞争力、有市场的钢铁煤炭企业，银行业金融机构应当按照风险可控、商业可持续原则，继续给予信贷支持，不得抽贷、压贷、断贷。</w:t>
      </w:r>
    </w:p>
    <w:p w:rsidR="00AF1BED" w:rsidRDefault="00AF1BED" w:rsidP="00256F4A">
      <w:pPr>
        <w:pStyle w:val="a3"/>
        <w:shd w:val="clear" w:color="auto" w:fill="FFFFFF"/>
        <w:spacing w:before="0" w:beforeAutospacing="0" w:after="0" w:afterAutospacing="0" w:line="360" w:lineRule="auto"/>
        <w:rPr>
          <w:rFonts w:ascii="Arial" w:hAnsi="Arial" w:cs="Arial"/>
          <w:color w:val="3E3E3E"/>
          <w:sz w:val="21"/>
          <w:szCs w:val="21"/>
        </w:rPr>
      </w:pPr>
      <w:r>
        <w:rPr>
          <w:rFonts w:ascii="Arial" w:hAnsi="Arial" w:cs="Arial"/>
          <w:color w:val="3E3E3E"/>
        </w:rPr>
        <w:t>        </w:t>
      </w:r>
      <w:r>
        <w:rPr>
          <w:rFonts w:ascii="Arial" w:hAnsi="Arial" w:cs="Arial"/>
          <w:color w:val="3E3E3E"/>
        </w:rPr>
        <w:t>意见明确，支持银行业金融机构按照依法合规、自主决策、风险可控、商业可持续原则，对能产生整合效应的钢铁煤炭兼并重组项目采取银团贷款等方式，积极稳妥开展并购贷款业务。对符合并购贷款条件的兼并重组企业，并购交易价款中并购贷款所占比例上限可提高至</w:t>
      </w:r>
      <w:r>
        <w:rPr>
          <w:rFonts w:ascii="Arial" w:hAnsi="Arial" w:cs="Arial"/>
          <w:color w:val="3E3E3E"/>
        </w:rPr>
        <w:t>70%</w:t>
      </w:r>
      <w:r>
        <w:rPr>
          <w:rFonts w:ascii="Arial" w:hAnsi="Arial" w:cs="Arial"/>
          <w:color w:val="3E3E3E"/>
        </w:rPr>
        <w:t>。</w:t>
      </w:r>
    </w:p>
    <w:p w:rsidR="00AF1BED" w:rsidRDefault="00AF1BED" w:rsidP="00256F4A">
      <w:pPr>
        <w:pStyle w:val="a3"/>
        <w:shd w:val="clear" w:color="auto" w:fill="FFFFFF"/>
        <w:spacing w:before="0" w:beforeAutospacing="0" w:after="0" w:afterAutospacing="0" w:line="360" w:lineRule="auto"/>
        <w:rPr>
          <w:rFonts w:ascii="Arial" w:hAnsi="Arial" w:cs="Arial"/>
          <w:color w:val="3E3E3E"/>
          <w:sz w:val="21"/>
          <w:szCs w:val="21"/>
        </w:rPr>
      </w:pPr>
      <w:r>
        <w:rPr>
          <w:rFonts w:ascii="Arial" w:hAnsi="Arial" w:cs="Arial"/>
          <w:color w:val="3E3E3E"/>
        </w:rPr>
        <w:t>        </w:t>
      </w:r>
      <w:r>
        <w:rPr>
          <w:rFonts w:ascii="Arial" w:hAnsi="Arial" w:cs="Arial"/>
          <w:color w:val="3E3E3E"/>
        </w:rPr>
        <w:t>意见提出，对符合国家产业政策、主动去产能、具有持续经营能力、还款能力与还款意愿强、贷款到期后仍有融资需求、但暂时存在资金困难的钢铁煤炭企业，银行业金融机构在风险可控、商业可持续原则前提下，可以进行贷款重组，调整贷款结构，合理确定贷款期限，按照国家有关规定减免利息。</w:t>
      </w:r>
    </w:p>
    <w:p w:rsidR="00AF1BED" w:rsidRDefault="00AF1BED" w:rsidP="00256F4A">
      <w:pPr>
        <w:pStyle w:val="a3"/>
        <w:shd w:val="clear" w:color="auto" w:fill="FFFFFF"/>
        <w:spacing w:before="0" w:beforeAutospacing="0" w:after="0" w:afterAutospacing="0" w:line="360" w:lineRule="auto"/>
        <w:rPr>
          <w:rFonts w:ascii="Arial" w:hAnsi="Arial" w:cs="Arial"/>
          <w:color w:val="3E3E3E"/>
          <w:sz w:val="21"/>
          <w:szCs w:val="21"/>
        </w:rPr>
      </w:pPr>
      <w:r>
        <w:rPr>
          <w:rFonts w:ascii="Arial" w:hAnsi="Arial" w:cs="Arial"/>
          <w:color w:val="3E3E3E"/>
        </w:rPr>
        <w:t>        </w:t>
      </w:r>
      <w:r>
        <w:rPr>
          <w:rFonts w:ascii="Arial" w:hAnsi="Arial" w:cs="Arial"/>
          <w:color w:val="3E3E3E"/>
        </w:rPr>
        <w:t>另一方面，对于违规新增钢铁煤炭产能，意见要求对其严控信贷投放。对违规新增钢铁煤炭产能项目，银行业金融机构一律不得提供信贷支持；对违规新增产能的企业，停止贷款。并且，意见进一步提出，坚决停止对落后产能和</w:t>
      </w:r>
      <w:r>
        <w:rPr>
          <w:rFonts w:ascii="Arial" w:hAnsi="Arial" w:cs="Arial"/>
          <w:color w:val="3E3E3E"/>
        </w:rPr>
        <w:t>“</w:t>
      </w:r>
      <w:r>
        <w:rPr>
          <w:rFonts w:ascii="Arial" w:hAnsi="Arial" w:cs="Arial"/>
          <w:color w:val="3E3E3E"/>
        </w:rPr>
        <w:t>僵尸企业</w:t>
      </w:r>
      <w:r>
        <w:rPr>
          <w:rFonts w:ascii="Arial" w:hAnsi="Arial" w:cs="Arial"/>
          <w:color w:val="3E3E3E"/>
        </w:rPr>
        <w:t>”</w:t>
      </w:r>
      <w:r>
        <w:rPr>
          <w:rFonts w:ascii="Arial" w:hAnsi="Arial" w:cs="Arial"/>
          <w:color w:val="3E3E3E"/>
        </w:rPr>
        <w:t>的金融支持。</w:t>
      </w:r>
    </w:p>
    <w:p w:rsidR="00AF1BED" w:rsidRDefault="00AF1BED" w:rsidP="00256F4A">
      <w:pPr>
        <w:pStyle w:val="a3"/>
        <w:shd w:val="clear" w:color="auto" w:fill="FFFFFF"/>
        <w:spacing w:before="0" w:beforeAutospacing="0" w:after="0" w:afterAutospacing="0" w:line="360" w:lineRule="auto"/>
        <w:rPr>
          <w:rFonts w:ascii="Arial" w:hAnsi="Arial" w:cs="Arial"/>
          <w:color w:val="3E3E3E"/>
          <w:sz w:val="21"/>
          <w:szCs w:val="21"/>
        </w:rPr>
      </w:pPr>
      <w:r>
        <w:rPr>
          <w:rFonts w:ascii="Arial" w:hAnsi="Arial" w:cs="Arial"/>
          <w:color w:val="3E3E3E"/>
        </w:rPr>
        <w:t>        </w:t>
      </w:r>
      <w:r>
        <w:rPr>
          <w:rFonts w:ascii="Arial" w:hAnsi="Arial" w:cs="Arial"/>
          <w:color w:val="3E3E3E"/>
        </w:rPr>
        <w:t>意见提出，对资产负债率较高、在国民经济中占重要地位、具备发展潜力的钢铁煤炭骨干企业，支持金融资产管理公司、地方资产管理公司、银行现有符合条件的所属机构或设立的符合规定的新机构等多种类型实施机构按照国家法律法规和国家有关规定，按照市场化、法治化的原则，开展债转股工作，依法行使股东权利，改进公司治理结构。</w:t>
      </w:r>
    </w:p>
    <w:p w:rsidR="00AF1BED" w:rsidRDefault="00AF1BED" w:rsidP="00256F4A">
      <w:pPr>
        <w:pStyle w:val="a3"/>
        <w:shd w:val="clear" w:color="auto" w:fill="FFFFFF"/>
        <w:spacing w:before="0" w:beforeAutospacing="0" w:after="0" w:afterAutospacing="0" w:line="360" w:lineRule="auto"/>
        <w:rPr>
          <w:rFonts w:ascii="Arial" w:hAnsi="Arial" w:cs="Arial"/>
          <w:color w:val="3E3E3E"/>
          <w:sz w:val="21"/>
          <w:szCs w:val="21"/>
        </w:rPr>
      </w:pPr>
      <w:r>
        <w:rPr>
          <w:rFonts w:ascii="Arial" w:hAnsi="Arial" w:cs="Arial"/>
          <w:color w:val="3E3E3E"/>
        </w:rPr>
        <w:t>        </w:t>
      </w:r>
      <w:r>
        <w:rPr>
          <w:rFonts w:ascii="Arial" w:hAnsi="Arial" w:cs="Arial"/>
          <w:color w:val="3E3E3E"/>
        </w:rPr>
        <w:t>意见明确，引导社会资本参与钢铁煤炭企业的脱困发展，支持产业基金和股权投资基金特别是地方政府成立的产业基金和股权投资基金，投资入股产品</w:t>
      </w:r>
      <w:r>
        <w:rPr>
          <w:rFonts w:ascii="Arial" w:hAnsi="Arial" w:cs="Arial"/>
          <w:color w:val="3E3E3E"/>
        </w:rPr>
        <w:lastRenderedPageBreak/>
        <w:t>有市场、发展有前景、但资产负债率较高的钢铁煤炭骨干企业，依法行使股东权利。</w:t>
      </w:r>
    </w:p>
    <w:p w:rsidR="00AF1BED" w:rsidRDefault="00AF1BED" w:rsidP="00256F4A">
      <w:pPr>
        <w:pStyle w:val="a3"/>
        <w:shd w:val="clear" w:color="auto" w:fill="FFFFFF"/>
        <w:spacing w:before="0" w:beforeAutospacing="0" w:after="0" w:afterAutospacing="0" w:line="360" w:lineRule="auto"/>
        <w:rPr>
          <w:rFonts w:ascii="Arial" w:hAnsi="Arial" w:cs="Arial"/>
          <w:color w:val="3E3E3E"/>
          <w:sz w:val="21"/>
          <w:szCs w:val="21"/>
        </w:rPr>
      </w:pPr>
      <w:r>
        <w:rPr>
          <w:rFonts w:ascii="Arial" w:hAnsi="Arial" w:cs="Arial"/>
          <w:color w:val="3E3E3E"/>
        </w:rPr>
        <w:t>        </w:t>
      </w:r>
      <w:r>
        <w:rPr>
          <w:rFonts w:ascii="Arial" w:hAnsi="Arial" w:cs="Arial"/>
          <w:color w:val="3E3E3E"/>
        </w:rPr>
        <w:t>此外，意见还提出，妥善处置涉及钢铁煤炭企业的不良资产，依法维护涉及破产清算钢铁煤炭企业的金融债权，依法打击逃废金融债务行为等措施。</w:t>
      </w:r>
    </w:p>
    <w:p w:rsidR="00AF1BED" w:rsidRDefault="00AF1BED" w:rsidP="00256F4A">
      <w:pPr>
        <w:pStyle w:val="a3"/>
        <w:shd w:val="clear" w:color="auto" w:fill="FFFFFF"/>
        <w:spacing w:before="0" w:beforeAutospacing="0" w:after="0" w:afterAutospacing="0" w:line="360" w:lineRule="auto"/>
        <w:rPr>
          <w:rFonts w:ascii="Arial" w:hAnsi="Arial" w:cs="Arial"/>
          <w:color w:val="3E3E3E"/>
          <w:sz w:val="21"/>
          <w:szCs w:val="21"/>
        </w:rPr>
      </w:pPr>
      <w:r>
        <w:rPr>
          <w:rFonts w:ascii="Arial" w:hAnsi="Arial" w:cs="Arial"/>
          <w:color w:val="3E3E3E"/>
        </w:rPr>
        <w:t>        </w:t>
      </w:r>
      <w:r>
        <w:rPr>
          <w:rFonts w:ascii="Arial" w:hAnsi="Arial" w:cs="Arial"/>
          <w:color w:val="3E3E3E"/>
        </w:rPr>
        <w:t>意见提出，各级发展改革部门、工业和信息化部门等应及时公布行业发展情况、产业规划调整方案、</w:t>
      </w:r>
      <w:r>
        <w:rPr>
          <w:rFonts w:ascii="Arial" w:hAnsi="Arial" w:cs="Arial"/>
          <w:color w:val="3E3E3E"/>
        </w:rPr>
        <w:t>“</w:t>
      </w:r>
      <w:r>
        <w:rPr>
          <w:rFonts w:ascii="Arial" w:hAnsi="Arial" w:cs="Arial"/>
          <w:color w:val="3E3E3E"/>
        </w:rPr>
        <w:t>僵尸企业</w:t>
      </w:r>
      <w:r>
        <w:rPr>
          <w:rFonts w:ascii="Arial" w:hAnsi="Arial" w:cs="Arial"/>
          <w:color w:val="3E3E3E"/>
        </w:rPr>
        <w:t>”</w:t>
      </w:r>
      <w:r>
        <w:rPr>
          <w:rFonts w:ascii="Arial" w:hAnsi="Arial" w:cs="Arial"/>
          <w:color w:val="3E3E3E"/>
        </w:rPr>
        <w:t>、涉及淘汰落后和过剩产能企业和项目名单，帮助银行业金融机构落实好</w:t>
      </w:r>
      <w:r>
        <w:rPr>
          <w:rFonts w:ascii="Arial" w:hAnsi="Arial" w:cs="Arial"/>
          <w:color w:val="3E3E3E"/>
        </w:rPr>
        <w:t>“</w:t>
      </w:r>
      <w:r>
        <w:rPr>
          <w:rFonts w:ascii="Arial" w:hAnsi="Arial" w:cs="Arial"/>
          <w:color w:val="3E3E3E"/>
        </w:rPr>
        <w:t>有保有控</w:t>
      </w:r>
      <w:r>
        <w:rPr>
          <w:rFonts w:ascii="Arial" w:hAnsi="Arial" w:cs="Arial"/>
          <w:color w:val="3E3E3E"/>
        </w:rPr>
        <w:t>”</w:t>
      </w:r>
      <w:r>
        <w:rPr>
          <w:rFonts w:ascii="Arial" w:hAnsi="Arial" w:cs="Arial"/>
          <w:color w:val="3E3E3E"/>
        </w:rPr>
        <w:t>的差别化信贷政策。</w:t>
      </w:r>
      <w:r>
        <w:rPr>
          <w:rFonts w:ascii="Arial" w:hAnsi="Arial" w:cs="Arial"/>
          <w:color w:val="3E3E3E"/>
        </w:rPr>
        <w:t>□</w:t>
      </w:r>
    </w:p>
    <w:p w:rsidR="0085229E" w:rsidRPr="00AF1BED" w:rsidRDefault="00AF1BED" w:rsidP="00256F4A">
      <w:pPr>
        <w:spacing w:line="360" w:lineRule="auto"/>
      </w:pPr>
      <w:r>
        <w:rPr>
          <w:rFonts w:hint="eastAsia"/>
        </w:rPr>
        <w:t>（来源：中国矿业报）</w:t>
      </w:r>
      <w:bookmarkStart w:id="0" w:name="_GoBack"/>
      <w:bookmarkEnd w:id="0"/>
    </w:p>
    <w:sectPr w:rsidR="0085229E" w:rsidRPr="00AF1B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64F" w:rsidRDefault="0075564F" w:rsidP="00256F4A">
      <w:r>
        <w:separator/>
      </w:r>
    </w:p>
  </w:endnote>
  <w:endnote w:type="continuationSeparator" w:id="0">
    <w:p w:rsidR="0075564F" w:rsidRDefault="0075564F" w:rsidP="00256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64F" w:rsidRDefault="0075564F" w:rsidP="00256F4A">
      <w:r>
        <w:separator/>
      </w:r>
    </w:p>
  </w:footnote>
  <w:footnote w:type="continuationSeparator" w:id="0">
    <w:p w:rsidR="0075564F" w:rsidRDefault="0075564F" w:rsidP="00256F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BED"/>
    <w:rsid w:val="00256F4A"/>
    <w:rsid w:val="00552BB1"/>
    <w:rsid w:val="0075564F"/>
    <w:rsid w:val="0085229E"/>
    <w:rsid w:val="00AF1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F8CB87-238E-471A-A8D2-AE7AB3EB3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1BED"/>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256F4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56F4A"/>
    <w:rPr>
      <w:sz w:val="18"/>
      <w:szCs w:val="18"/>
    </w:rPr>
  </w:style>
  <w:style w:type="paragraph" w:styleId="a6">
    <w:name w:val="footer"/>
    <w:basedOn w:val="a"/>
    <w:link w:val="a7"/>
    <w:uiPriority w:val="99"/>
    <w:unhideWhenUsed/>
    <w:rsid w:val="00256F4A"/>
    <w:pPr>
      <w:tabs>
        <w:tab w:val="center" w:pos="4153"/>
        <w:tab w:val="right" w:pos="8306"/>
      </w:tabs>
      <w:snapToGrid w:val="0"/>
      <w:jc w:val="left"/>
    </w:pPr>
    <w:rPr>
      <w:sz w:val="18"/>
      <w:szCs w:val="18"/>
    </w:rPr>
  </w:style>
  <w:style w:type="character" w:customStyle="1" w:styleId="a7">
    <w:name w:val="页脚 字符"/>
    <w:basedOn w:val="a0"/>
    <w:link w:val="a6"/>
    <w:uiPriority w:val="99"/>
    <w:rsid w:val="00256F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5987">
      <w:bodyDiv w:val="1"/>
      <w:marLeft w:val="0"/>
      <w:marRight w:val="0"/>
      <w:marTop w:val="0"/>
      <w:marBottom w:val="0"/>
      <w:divBdr>
        <w:top w:val="none" w:sz="0" w:space="0" w:color="auto"/>
        <w:left w:val="none" w:sz="0" w:space="0" w:color="auto"/>
        <w:bottom w:val="none" w:sz="0" w:space="0" w:color="auto"/>
        <w:right w:val="none" w:sz="0" w:space="0" w:color="auto"/>
      </w:divBdr>
    </w:div>
    <w:div w:id="59397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167</Words>
  <Characters>952</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2</cp:revision>
  <dcterms:created xsi:type="dcterms:W3CDTF">2016-12-19T11:46:00Z</dcterms:created>
  <dcterms:modified xsi:type="dcterms:W3CDTF">2016-12-19T12:05:00Z</dcterms:modified>
</cp:coreProperties>
</file>