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BED" w:rsidRPr="00AF1BED" w:rsidRDefault="00AF1BED" w:rsidP="00AF1BED">
      <w:pPr>
        <w:widowControl/>
        <w:pBdr>
          <w:bottom w:val="single" w:sz="6" w:space="8" w:color="E7E7EB"/>
        </w:pBdr>
        <w:spacing w:after="210"/>
        <w:jc w:val="left"/>
        <w:outlineLvl w:val="1"/>
        <w:rPr>
          <w:rFonts w:ascii="Helvetica" w:eastAsia="宋体" w:hAnsi="Helvetica" w:cs="宋体"/>
          <w:color w:val="000000"/>
          <w:kern w:val="0"/>
          <w:sz w:val="36"/>
          <w:szCs w:val="36"/>
        </w:rPr>
      </w:pPr>
      <w:r w:rsidRPr="00AF1BED">
        <w:rPr>
          <w:rFonts w:ascii="Helvetica" w:eastAsia="宋体" w:hAnsi="Helvetica" w:cs="宋体"/>
          <w:color w:val="000000"/>
          <w:kern w:val="0"/>
          <w:sz w:val="36"/>
          <w:szCs w:val="36"/>
        </w:rPr>
        <w:t>国家发布意见提出：支持钢铁煤炭企业合理资金需求</w:t>
      </w:r>
    </w:p>
    <w:p w:rsidR="00AF1BED" w:rsidRDefault="00AF1BED" w:rsidP="00256F4A">
      <w:pPr>
        <w:pStyle w:val="a3"/>
        <w:shd w:val="clear" w:color="auto" w:fill="FFFFFF"/>
        <w:spacing w:before="0" w:beforeAutospacing="0" w:after="0" w:afterAutospacing="0" w:line="360" w:lineRule="auto"/>
        <w:ind w:firstLineChars="200" w:firstLine="480"/>
        <w:rPr>
          <w:rFonts w:ascii="Arial" w:hAnsi="Arial" w:cs="Arial"/>
          <w:color w:val="3E3E3E"/>
          <w:sz w:val="21"/>
          <w:szCs w:val="21"/>
        </w:rPr>
      </w:pPr>
      <w:r>
        <w:rPr>
          <w:rFonts w:ascii="Arial" w:hAnsi="Arial" w:cs="Arial"/>
          <w:color w:val="3E3E3E"/>
        </w:rPr>
        <w:t>为妥善处置化解过剩产能过程中的有关金融债权债务，中国银监会、国家发改委和工信部近日联合发布《关于钢铁煤炭行业化解过剩产能金融债权债务问题的若干意见》提出，支持钢铁煤炭企业合理资金需求、加大对兼并重组钢铁煤炭企业的金融支持力度、鼓励银行业金融机构对主动去产能的钢铁煤炭困难企业进行贷款重组等</w:t>
      </w:r>
      <w:r>
        <w:rPr>
          <w:rFonts w:ascii="Arial" w:hAnsi="Arial" w:cs="Arial"/>
          <w:color w:val="3E3E3E"/>
        </w:rPr>
        <w:t>13</w:t>
      </w:r>
      <w:r>
        <w:rPr>
          <w:rFonts w:ascii="Arial" w:hAnsi="Arial" w:cs="Arial"/>
          <w:color w:val="3E3E3E"/>
        </w:rPr>
        <w:t>项具体措施。</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意见提出，对技术设备先进、产品有竞争力、有市场的钢铁煤炭企业，银行业金融机构应当按照风险可控、商业可持续原则，继续给予信贷支持，不得抽贷、压贷、断贷。</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意见明确，支持银行业金融机构按照依法合规、自主决策、风险可控、商业可持续原则，对能产生整合效应的钢铁煤炭兼并重组项目采取银团贷款等方式，积极稳妥开展并购贷款业务。对符合并购贷款条件的兼并重组企业，并购交易价款中并购贷款所占比例上限可提高至</w:t>
      </w:r>
      <w:r>
        <w:rPr>
          <w:rFonts w:ascii="Arial" w:hAnsi="Arial" w:cs="Arial"/>
          <w:color w:val="3E3E3E"/>
        </w:rPr>
        <w:t>70%</w:t>
      </w:r>
      <w:r>
        <w:rPr>
          <w:rFonts w:ascii="Arial" w:hAnsi="Arial" w:cs="Arial"/>
          <w:color w:val="3E3E3E"/>
        </w:rPr>
        <w:t>。</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意见提出，对符合国家产业政策、主动去产能、具有持续经营能力、还款能力与还款意愿强、贷款到期后仍有融资需求、但暂时存在资金困难的钢铁煤炭企业，银行业金融机构在风险可控、商业可持续原则前提下，可以进行贷款重组，调整贷款结构，合理确定贷款期限，按照国家有关规定减免利息。</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另一方面，对于违规新增钢铁煤炭产能，意见要求对其严控信贷投放。对违规新增钢铁煤炭产能项目，银行业金融机构一律不得提供信贷支持；对违规新增产能的企业，停止贷款。并且，意见进一步提出，坚决停止对落后产能和</w:t>
      </w:r>
      <w:r>
        <w:rPr>
          <w:rFonts w:ascii="Arial" w:hAnsi="Arial" w:cs="Arial"/>
          <w:color w:val="3E3E3E"/>
        </w:rPr>
        <w:t>“</w:t>
      </w:r>
      <w:r>
        <w:rPr>
          <w:rFonts w:ascii="Arial" w:hAnsi="Arial" w:cs="Arial"/>
          <w:color w:val="3E3E3E"/>
        </w:rPr>
        <w:t>僵尸企业</w:t>
      </w:r>
      <w:r>
        <w:rPr>
          <w:rFonts w:ascii="Arial" w:hAnsi="Arial" w:cs="Arial"/>
          <w:color w:val="3E3E3E"/>
        </w:rPr>
        <w:t>”</w:t>
      </w:r>
      <w:r>
        <w:rPr>
          <w:rFonts w:ascii="Arial" w:hAnsi="Arial" w:cs="Arial"/>
          <w:color w:val="3E3E3E"/>
        </w:rPr>
        <w:t>的金融支持。</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意见提出，对资产负债率较高、在国民经济中占重要地位、具备发展潜力的钢铁煤炭骨干企业，支持金融资产管理公司、地方资产管理公司、银行现有符合条件的所属机构或设立的符合规定的新机构等多种类型实施机构按照国家法律法规和国家有关规定，按照市场化、法治化的原则，开展债转股工作，依法行使股东权利，改进公司治理结构。</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意见明确，引导社会资本参与钢铁煤炭企业的脱困发展，支持产业基金和股权投资基金特别是地方政府成立的产业基金和股权投资基金，投资入股产品</w:t>
      </w:r>
      <w:r>
        <w:rPr>
          <w:rFonts w:ascii="Arial" w:hAnsi="Arial" w:cs="Arial"/>
          <w:color w:val="3E3E3E"/>
        </w:rPr>
        <w:lastRenderedPageBreak/>
        <w:t>有市场、发展有前景、但资产负债率较高的钢铁煤炭骨干企业，依法行使股东权利。</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此外，意见还提出，妥善处置涉及钢铁煤炭企业的不良资产，依法维护涉及破产清算钢铁煤炭企业的金融债权，依法打击逃废金融债务行为等措施。</w:t>
      </w:r>
    </w:p>
    <w:p w:rsidR="00AF1BED" w:rsidRDefault="00AF1BED" w:rsidP="00256F4A">
      <w:pPr>
        <w:pStyle w:val="a3"/>
        <w:shd w:val="clear" w:color="auto" w:fill="FFFFFF"/>
        <w:spacing w:before="0" w:beforeAutospacing="0" w:after="0" w:afterAutospacing="0" w:line="360" w:lineRule="auto"/>
        <w:rPr>
          <w:rFonts w:ascii="Arial" w:hAnsi="Arial" w:cs="Arial"/>
          <w:color w:val="3E3E3E"/>
          <w:sz w:val="21"/>
          <w:szCs w:val="21"/>
        </w:rPr>
      </w:pPr>
      <w:r>
        <w:rPr>
          <w:rFonts w:ascii="Arial" w:hAnsi="Arial" w:cs="Arial"/>
          <w:color w:val="3E3E3E"/>
        </w:rPr>
        <w:t>        </w:t>
      </w:r>
      <w:r>
        <w:rPr>
          <w:rFonts w:ascii="Arial" w:hAnsi="Arial" w:cs="Arial"/>
          <w:color w:val="3E3E3E"/>
        </w:rPr>
        <w:t>意见提出，各级发展改革部门、工业和信息化部门等应及时公布行业发展情况、产业规划调整方案、</w:t>
      </w:r>
      <w:r>
        <w:rPr>
          <w:rFonts w:ascii="Arial" w:hAnsi="Arial" w:cs="Arial"/>
          <w:color w:val="3E3E3E"/>
        </w:rPr>
        <w:t>“</w:t>
      </w:r>
      <w:r>
        <w:rPr>
          <w:rFonts w:ascii="Arial" w:hAnsi="Arial" w:cs="Arial"/>
          <w:color w:val="3E3E3E"/>
        </w:rPr>
        <w:t>僵尸企业</w:t>
      </w:r>
      <w:r>
        <w:rPr>
          <w:rFonts w:ascii="Arial" w:hAnsi="Arial" w:cs="Arial"/>
          <w:color w:val="3E3E3E"/>
        </w:rPr>
        <w:t>”</w:t>
      </w:r>
      <w:r>
        <w:rPr>
          <w:rFonts w:ascii="Arial" w:hAnsi="Arial" w:cs="Arial"/>
          <w:color w:val="3E3E3E"/>
        </w:rPr>
        <w:t>、涉及淘汰落后和过剩产能企业和项目名单，帮助银行业金融机构落实好</w:t>
      </w:r>
      <w:r>
        <w:rPr>
          <w:rFonts w:ascii="Arial" w:hAnsi="Arial" w:cs="Arial"/>
          <w:color w:val="3E3E3E"/>
        </w:rPr>
        <w:t>“</w:t>
      </w:r>
      <w:r>
        <w:rPr>
          <w:rFonts w:ascii="Arial" w:hAnsi="Arial" w:cs="Arial"/>
          <w:color w:val="3E3E3E"/>
        </w:rPr>
        <w:t>有保有控</w:t>
      </w:r>
      <w:r>
        <w:rPr>
          <w:rFonts w:ascii="Arial" w:hAnsi="Arial" w:cs="Arial"/>
          <w:color w:val="3E3E3E"/>
        </w:rPr>
        <w:t>”</w:t>
      </w:r>
      <w:r>
        <w:rPr>
          <w:rFonts w:ascii="Arial" w:hAnsi="Arial" w:cs="Arial"/>
          <w:color w:val="3E3E3E"/>
        </w:rPr>
        <w:t>的差别化信贷政策。</w:t>
      </w:r>
      <w:r>
        <w:rPr>
          <w:rFonts w:ascii="Arial" w:hAnsi="Arial" w:cs="Arial"/>
          <w:color w:val="3E3E3E"/>
        </w:rPr>
        <w:t>□</w:t>
      </w:r>
    </w:p>
    <w:p w:rsidR="0085229E" w:rsidRPr="00AF1BED" w:rsidRDefault="00AF1BED" w:rsidP="00256F4A">
      <w:pPr>
        <w:spacing w:line="360" w:lineRule="auto"/>
      </w:pPr>
      <w:r>
        <w:rPr>
          <w:rFonts w:hint="eastAsia"/>
        </w:rPr>
        <w:t>（来源：中国矿业报）</w:t>
      </w:r>
      <w:bookmarkStart w:id="0" w:name="_GoBack"/>
      <w:bookmarkEnd w:id="0"/>
    </w:p>
    <w:sectPr w:rsidR="0085229E" w:rsidRPr="00AF1B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4F" w:rsidRDefault="0075564F" w:rsidP="00256F4A">
      <w:r>
        <w:separator/>
      </w:r>
    </w:p>
  </w:endnote>
  <w:endnote w:type="continuationSeparator" w:id="0">
    <w:p w:rsidR="0075564F" w:rsidRDefault="0075564F" w:rsidP="0025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4F" w:rsidRDefault="0075564F" w:rsidP="00256F4A">
      <w:r>
        <w:separator/>
      </w:r>
    </w:p>
  </w:footnote>
  <w:footnote w:type="continuationSeparator" w:id="0">
    <w:p w:rsidR="0075564F" w:rsidRDefault="0075564F" w:rsidP="00256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ED"/>
    <w:rsid w:val="00256F4A"/>
    <w:rsid w:val="00552BB1"/>
    <w:rsid w:val="0075564F"/>
    <w:rsid w:val="0085229E"/>
    <w:rsid w:val="00AF1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F8CB87-238E-471A-A8D2-AE7AB3EB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BE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256F4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56F4A"/>
    <w:rPr>
      <w:sz w:val="18"/>
      <w:szCs w:val="18"/>
    </w:rPr>
  </w:style>
  <w:style w:type="paragraph" w:styleId="a6">
    <w:name w:val="footer"/>
    <w:basedOn w:val="a"/>
    <w:link w:val="a7"/>
    <w:uiPriority w:val="99"/>
    <w:unhideWhenUsed/>
    <w:rsid w:val="00256F4A"/>
    <w:pPr>
      <w:tabs>
        <w:tab w:val="center" w:pos="4153"/>
        <w:tab w:val="right" w:pos="8306"/>
      </w:tabs>
      <w:snapToGrid w:val="0"/>
      <w:jc w:val="left"/>
    </w:pPr>
    <w:rPr>
      <w:sz w:val="18"/>
      <w:szCs w:val="18"/>
    </w:rPr>
  </w:style>
  <w:style w:type="character" w:customStyle="1" w:styleId="a7">
    <w:name w:val="页脚 字符"/>
    <w:basedOn w:val="a0"/>
    <w:link w:val="a6"/>
    <w:uiPriority w:val="99"/>
    <w:rsid w:val="00256F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987">
      <w:bodyDiv w:val="1"/>
      <w:marLeft w:val="0"/>
      <w:marRight w:val="0"/>
      <w:marTop w:val="0"/>
      <w:marBottom w:val="0"/>
      <w:divBdr>
        <w:top w:val="none" w:sz="0" w:space="0" w:color="auto"/>
        <w:left w:val="none" w:sz="0" w:space="0" w:color="auto"/>
        <w:bottom w:val="none" w:sz="0" w:space="0" w:color="auto"/>
        <w:right w:val="none" w:sz="0" w:space="0" w:color="auto"/>
      </w:divBdr>
    </w:div>
    <w:div w:id="5939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2</cp:revision>
  <dcterms:created xsi:type="dcterms:W3CDTF">2016-12-19T11:46:00Z</dcterms:created>
  <dcterms:modified xsi:type="dcterms:W3CDTF">2016-12-19T12:05:00Z</dcterms:modified>
</cp:coreProperties>
</file>